
<file path=[Content_Types].xml><?xml version="1.0" encoding="utf-8"?>
<Types xmlns="http://schemas.openxmlformats.org/package/2006/content-types">
  <Default Extension="png" ContentType="image/png"/>
  <Default Extension="rels" ContentType="application/vnd.openxmlformats-package.relationships+xml"/>
  <Default Extension="ttf" ContentType="application/x-font-ttf"/>
  <Default Extension="xml" ContentType="application/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fontTable.xml" ContentType="application/vnd.openxmlformats-officedocument.wordprocessingml.fontTable+xml"/>
  <Override PartName="/word/styles.xml" ContentType="application/vnd.openxmlformats-officedocument.wordprocessingml.styles+xml"/>
  <Override PartName="/customXML/itemProps1.xml" ContentType="application/vnd.openxmlformats-officedocument.customXmlProperties+xml"/>
  <Override PartName="/customXML/item1.xml" ContentType="application/xml"/>
  <Override PartName="/docProps/custom.xml" ContentType="application/vnd.openxmlformats-officedocument.custom-properties+xml"/>
  <Override PartName="/docProps/core.xml" ContentType="application/vnd.openxmlformats-package.core-properties+xml"/>
  <Override PartName="/word/document.xml" ContentType="application/vnd.openxmlformats-officedocument.wordprocessingml.document.main+xml"/>
  <Override PartName="/word/theme/theme1.xml" ContentType="application/vnd.openxmlformats-officedocument.theme+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jc w:val="center"/>
        <w:rPr>
          <w:rFonts w:ascii="Play" w:cs="Play" w:eastAsia="Play" w:hAnsi="Play"/>
          <w:color w:val="000000"/>
          <w:sz w:val="32"/>
          <w:szCs w:val="32"/>
        </w:rPr>
      </w:pPr>
      <w:r w:rsidDel="00000000" w:rsidR="00000000" w:rsidRPr="00000000">
        <w:rPr>
          <w:rFonts w:ascii="Play" w:cs="Play" w:eastAsia="Play" w:hAnsi="Play"/>
          <w:sz w:val="32"/>
          <w:szCs w:val="32"/>
          <w:rtl w:val="0"/>
        </w:rPr>
        <w:t xml:space="preserve">Durability By Design</w:t>
      </w:r>
      <w:r w:rsidDel="00000000" w:rsidR="00000000" w:rsidRPr="00000000">
        <w:rPr>
          <w:rtl w:val="0"/>
        </w:rPr>
      </w:r>
    </w:p>
    <w:p w:rsidR="00000000" w:rsidDel="00000000" w:rsidP="00000000" w:rsidRDefault="00000000" w:rsidRPr="00000000" w14:paraId="00000002">
      <w:pPr>
        <w:jc w:val="center"/>
        <w:rPr>
          <w:rFonts w:ascii="Play" w:cs="Play" w:eastAsia="Play" w:hAnsi="Play"/>
          <w:color w:val="000000"/>
          <w:sz w:val="32"/>
          <w:szCs w:val="32"/>
        </w:rPr>
      </w:pPr>
      <w:r w:rsidDel="00000000" w:rsidR="00000000" w:rsidRPr="00000000">
        <w:rPr>
          <w:rFonts w:ascii="Play" w:cs="Play" w:eastAsia="Play" w:hAnsi="Play"/>
          <w:color w:val="000000"/>
          <w:sz w:val="32"/>
          <w:szCs w:val="32"/>
          <w:rtl w:val="0"/>
        </w:rPr>
        <w:t xml:space="preserve">Engineering Design</w:t>
      </w:r>
    </w:p>
    <w:p w:rsidR="00000000" w:rsidDel="00000000" w:rsidP="00000000" w:rsidRDefault="00000000" w:rsidRPr="00000000" w14:paraId="00000003">
      <w:pPr>
        <w:jc w:val="center"/>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004">
      <w:pPr>
        <w:pStyle w:val="Heading1"/>
        <w:jc w:val="center"/>
        <w:rPr>
          <w:rFonts w:ascii="Arial" w:cs="Arial" w:eastAsia="Arial" w:hAnsi="Arial"/>
          <w:sz w:val="24"/>
          <w:szCs w:val="24"/>
        </w:rPr>
      </w:pPr>
      <w:r w:rsidDel="00000000" w:rsidR="00000000" w:rsidRPr="00000000">
        <w:rPr>
          <w:rFonts w:ascii="Play" w:cs="Play" w:eastAsia="Play" w:hAnsi="Play"/>
          <w:b w:val="0"/>
          <w:color w:val="000000"/>
          <w:sz w:val="24"/>
          <w:szCs w:val="24"/>
          <w:rtl w:val="0"/>
        </w:rPr>
        <w:t xml:space="preserve">Names (of all group members): ___________________________________</w:t>
        <w:tab/>
        <w:tab/>
        <w:tab/>
        <w:t xml:space="preserve">Date: __________________</w:t>
      </w:r>
      <w:r w:rsidDel="00000000" w:rsidR="00000000" w:rsidRPr="00000000">
        <w:rPr>
          <w:rtl w:val="0"/>
        </w:rPr>
      </w:r>
    </w:p>
    <w:p w:rsidR="00000000" w:rsidDel="00000000" w:rsidP="00000000" w:rsidRDefault="00000000" w:rsidRPr="00000000" w14:paraId="00000005">
      <w:pPr>
        <w:spacing w:after="0" w:line="240" w:lineRule="auto"/>
        <w:rPr>
          <w:rFonts w:ascii="Arial" w:cs="Arial" w:eastAsia="Arial" w:hAnsi="Arial"/>
          <w:sz w:val="24"/>
          <w:szCs w:val="24"/>
        </w:rPr>
      </w:pPr>
      <w:r w:rsidDel="00000000" w:rsidR="00000000" w:rsidRPr="00000000">
        <w:rPr>
          <w:rtl w:val="0"/>
        </w:rPr>
      </w:r>
    </w:p>
    <w:p w:rsidR="00000000" w:rsidDel="00000000" w:rsidP="00000000" w:rsidRDefault="00000000" w:rsidRPr="00000000" w14:paraId="00000006">
      <w:pPr>
        <w:spacing w:after="0" w:line="240" w:lineRule="auto"/>
        <w:rPr>
          <w:rFonts w:ascii="Arial" w:cs="Arial" w:eastAsia="Arial" w:hAnsi="Arial"/>
          <w:sz w:val="24"/>
          <w:szCs w:val="24"/>
        </w:rPr>
      </w:pPr>
      <w:r w:rsidDel="00000000" w:rsidR="00000000" w:rsidRPr="00000000">
        <w:rPr>
          <w:rtl w:val="0"/>
        </w:rPr>
      </w:r>
    </w:p>
    <w:p w:rsidR="00000000" w:rsidDel="00000000" w:rsidP="00000000" w:rsidRDefault="00000000" w:rsidRPr="00000000" w14:paraId="00000007">
      <w:pPr>
        <w:spacing w:after="0" w:line="240" w:lineRule="auto"/>
        <w:rPr>
          <w:rFonts w:ascii="Arial" w:cs="Arial" w:eastAsia="Arial" w:hAnsi="Arial"/>
          <w:sz w:val="24"/>
          <w:szCs w:val="24"/>
        </w:rPr>
      </w:pPr>
      <w:r w:rsidDel="00000000" w:rsidR="00000000" w:rsidRPr="00000000">
        <w:rPr>
          <w:rtl w:val="0"/>
        </w:rPr>
      </w:r>
    </w:p>
    <w:sdt>
      <w:sdtPr>
        <w:lock w:val="contentLocked"/>
        <w:tag w:val="goog_rdk_0"/>
      </w:sdtPr>
      <w:sdtContent>
        <w:tbl>
          <w:tblPr>
            <w:tblStyle w:val="Table1"/>
            <w:tblW w:w="13886.999999999998"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704"/>
            <w:gridCol w:w="8183"/>
            <w:tblGridChange w:id="0">
              <w:tblGrid>
                <w:gridCol w:w="5704"/>
                <w:gridCol w:w="8183"/>
              </w:tblGrid>
            </w:tblGridChange>
          </w:tblGrid>
          <w:tr>
            <w:trPr>
              <w:cantSplit w:val="0"/>
              <w:tblHeader w:val="0"/>
            </w:trPr>
            <w:tc>
              <w:tcPr>
                <w:shd w:fill="aeaeae" w:val="clear"/>
              </w:tcPr>
              <w:p w:rsidR="00000000" w:rsidDel="00000000" w:rsidP="00000000" w:rsidRDefault="00000000" w:rsidRPr="00000000" w14:paraId="00000008">
                <w:pPr>
                  <w:spacing w:after="160" w:line="259" w:lineRule="auto"/>
                  <w:rPr>
                    <w:rFonts w:ascii="Play" w:cs="Play" w:eastAsia="Play" w:hAnsi="Play"/>
                  </w:rPr>
                </w:pPr>
                <w:r w:rsidDel="00000000" w:rsidR="00000000" w:rsidRPr="00000000">
                  <w:rPr>
                    <w:rFonts w:ascii="Play" w:cs="Play" w:eastAsia="Play" w:hAnsi="Play"/>
                    <w:rtl w:val="0"/>
                  </w:rPr>
                  <w:t xml:space="preserve">Step 1</w:t>
                </w:r>
              </w:p>
            </w:tc>
            <w:tc>
              <w:tcPr>
                <w:shd w:fill="aeaeae" w:val="clear"/>
              </w:tcPr>
              <w:p w:rsidR="00000000" w:rsidDel="00000000" w:rsidP="00000000" w:rsidRDefault="00000000" w:rsidRPr="00000000" w14:paraId="00000009">
                <w:pPr>
                  <w:numPr>
                    <w:ilvl w:val="0"/>
                    <w:numId w:val="1"/>
                  </w:numPr>
                  <w:spacing w:after="160" w:line="259" w:lineRule="auto"/>
                  <w:ind w:left="720" w:hanging="360"/>
                  <w:rPr>
                    <w:rFonts w:ascii="Play" w:cs="Play" w:eastAsia="Play" w:hAnsi="Play"/>
                  </w:rPr>
                </w:pPr>
                <w:r w:rsidDel="00000000" w:rsidR="00000000" w:rsidRPr="00000000">
                  <w:rPr>
                    <w:rFonts w:ascii="Play" w:cs="Play" w:eastAsia="Play" w:hAnsi="Play"/>
                    <w:rtl w:val="0"/>
                  </w:rPr>
                  <w:t xml:space="preserve">Identify the features of ruggedization</w:t>
                </w:r>
              </w:p>
            </w:tc>
          </w:tr>
        </w:tbl>
      </w:sdtContent>
    </w:sdt>
    <w:p w:rsidR="00000000" w:rsidDel="00000000" w:rsidP="00000000" w:rsidRDefault="00000000" w:rsidRPr="00000000" w14:paraId="0000000A">
      <w:pPr>
        <w:spacing w:after="0" w:line="240" w:lineRule="auto"/>
        <w:rPr>
          <w:rFonts w:ascii="Arial" w:cs="Arial" w:eastAsia="Arial" w:hAnsi="Arial"/>
          <w:sz w:val="24"/>
          <w:szCs w:val="24"/>
        </w:rPr>
      </w:pPr>
      <w:r w:rsidDel="00000000" w:rsidR="00000000" w:rsidRPr="00000000">
        <w:rPr>
          <w:rtl w:val="0"/>
        </w:rPr>
      </w:r>
    </w:p>
    <w:tbl>
      <w:tblPr>
        <w:tblStyle w:val="Table2"/>
        <w:tblW w:w="13958.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704"/>
        <w:gridCol w:w="8254"/>
        <w:tblGridChange w:id="0">
          <w:tblGrid>
            <w:gridCol w:w="5704"/>
            <w:gridCol w:w="8254"/>
          </w:tblGrid>
        </w:tblGridChange>
      </w:tblGrid>
      <w:tr>
        <w:trPr>
          <w:cantSplit w:val="0"/>
          <w:tblHeader w:val="0"/>
        </w:trPr>
        <w:tc>
          <w:tcPr>
            <w:shd w:fill="aeaeae" w:val="clear"/>
          </w:tcPr>
          <w:p w:rsidR="00000000" w:rsidDel="00000000" w:rsidP="00000000" w:rsidRDefault="00000000" w:rsidRPr="00000000" w14:paraId="0000000B">
            <w:pPr>
              <w:tabs>
                <w:tab w:val="left" w:leader="none" w:pos="1950"/>
              </w:tabs>
              <w:rPr>
                <w:rFonts w:ascii="Play" w:cs="Play" w:eastAsia="Play" w:hAnsi="Play"/>
              </w:rPr>
            </w:pPr>
            <w:r w:rsidDel="00000000" w:rsidR="00000000" w:rsidRPr="00000000">
              <w:rPr>
                <w:rFonts w:ascii="Play" w:cs="Play" w:eastAsia="Play" w:hAnsi="Play"/>
                <w:rtl w:val="0"/>
              </w:rPr>
              <w:t xml:space="preserve">Section 1</w:t>
            </w:r>
          </w:p>
        </w:tc>
        <w:tc>
          <w:tcPr>
            <w:shd w:fill="aeaeae" w:val="clear"/>
          </w:tcPr>
          <w:p w:rsidR="00000000" w:rsidDel="00000000" w:rsidP="00000000" w:rsidRDefault="00000000" w:rsidRPr="00000000" w14:paraId="0000000C">
            <w:pPr>
              <w:rPr>
                <w:rFonts w:ascii="Play" w:cs="Play" w:eastAsia="Play" w:hAnsi="Play"/>
              </w:rPr>
            </w:pPr>
            <w:r w:rsidDel="00000000" w:rsidR="00000000" w:rsidRPr="00000000">
              <w:rPr>
                <w:rtl w:val="0"/>
              </w:rPr>
            </w:r>
          </w:p>
        </w:tc>
      </w:tr>
      <w:tr>
        <w:trPr>
          <w:cantSplit w:val="0"/>
          <w:tblHeader w:val="0"/>
        </w:trPr>
        <w:tc>
          <w:tcPr>
            <w:gridSpan w:val="2"/>
          </w:tcPr>
          <w:p w:rsidR="00000000" w:rsidDel="00000000" w:rsidP="00000000" w:rsidRDefault="00000000" w:rsidRPr="00000000" w14:paraId="0000000D">
            <w:pPr>
              <w:rPr>
                <w:rFonts w:ascii="Play" w:cs="Play" w:eastAsia="Play" w:hAnsi="Play"/>
              </w:rPr>
            </w:pPr>
            <w:r w:rsidDel="00000000" w:rsidR="00000000" w:rsidRPr="00000000">
              <w:rPr>
                <w:rtl w:val="0"/>
              </w:rPr>
            </w:r>
          </w:p>
          <w:p w:rsidR="00000000" w:rsidDel="00000000" w:rsidP="00000000" w:rsidRDefault="00000000" w:rsidRPr="00000000" w14:paraId="0000000E">
            <w:pPr>
              <w:rPr>
                <w:rFonts w:ascii="Play" w:cs="Play" w:eastAsia="Play" w:hAnsi="Play"/>
              </w:rPr>
            </w:pPr>
            <w:r w:rsidDel="00000000" w:rsidR="00000000" w:rsidRPr="00000000">
              <w:rPr>
                <w:rFonts w:ascii="Play" w:cs="Play" w:eastAsia="Play" w:hAnsi="Play"/>
                <w:rtl w:val="0"/>
              </w:rPr>
              <w:t xml:space="preserve">Task: Analyze different ruggedized mobile cases, what makes it ruggedised? Note down your observations and key features here. Sketch out features of ruggedized phone cases.</w:t>
            </w:r>
          </w:p>
          <w:p w:rsidR="00000000" w:rsidDel="00000000" w:rsidP="00000000" w:rsidRDefault="00000000" w:rsidRPr="00000000" w14:paraId="0000000F">
            <w:pPr>
              <w:rPr>
                <w:rFonts w:ascii="Play" w:cs="Play" w:eastAsia="Play" w:hAnsi="Play"/>
              </w:rPr>
            </w:pPr>
            <w:r w:rsidDel="00000000" w:rsidR="00000000" w:rsidRPr="00000000">
              <w:rPr>
                <w:rtl w:val="0"/>
              </w:rPr>
            </w:r>
          </w:p>
          <w:p w:rsidR="00000000" w:rsidDel="00000000" w:rsidP="00000000" w:rsidRDefault="00000000" w:rsidRPr="00000000" w14:paraId="00000010">
            <w:pPr>
              <w:rPr>
                <w:rFonts w:ascii="Play" w:cs="Play" w:eastAsia="Play" w:hAnsi="Play"/>
              </w:rPr>
            </w:pPr>
            <w:r w:rsidDel="00000000" w:rsidR="00000000" w:rsidRPr="00000000">
              <w:rPr>
                <w:rtl w:val="0"/>
              </w:rPr>
            </w:r>
          </w:p>
          <w:p w:rsidR="00000000" w:rsidDel="00000000" w:rsidP="00000000" w:rsidRDefault="00000000" w:rsidRPr="00000000" w14:paraId="00000011">
            <w:pPr>
              <w:jc w:val="center"/>
              <w:rPr>
                <w:rFonts w:ascii="Play" w:cs="Play" w:eastAsia="Play" w:hAnsi="Play"/>
              </w:rPr>
            </w:pPr>
            <w:r w:rsidDel="00000000" w:rsidR="00000000" w:rsidRPr="00000000">
              <w:rPr>
                <w:rFonts w:ascii="Play" w:cs="Play" w:eastAsia="Play" w:hAnsi="Play"/>
              </w:rPr>
              <w:drawing>
                <wp:inline distB="114300" distT="114300" distL="114300" distR="114300">
                  <wp:extent cx="4319588" cy="3788895"/>
                  <wp:effectExtent b="0" l="0" r="0" t="0"/>
                  <wp:docPr id="63" name="image2.png"/>
                  <a:graphic>
                    <a:graphicData uri="http://schemas.openxmlformats.org/drawingml/2006/picture">
                      <pic:pic>
                        <pic:nvPicPr>
                          <pic:cNvPr id="0" name="image2.png"/>
                          <pic:cNvPicPr preferRelativeResize="0"/>
                        </pic:nvPicPr>
                        <pic:blipFill>
                          <a:blip r:embed="rId7"/>
                          <a:srcRect b="0" l="0" r="0" t="0"/>
                          <a:stretch>
                            <a:fillRect/>
                          </a:stretch>
                        </pic:blipFill>
                        <pic:spPr>
                          <a:xfrm>
                            <a:off x="0" y="0"/>
                            <a:ext cx="4319588" cy="3788895"/>
                          </a:xfrm>
                          <a:prstGeom prst="rect"/>
                          <a:ln/>
                        </pic:spPr>
                      </pic:pic>
                    </a:graphicData>
                  </a:graphic>
                </wp:inline>
              </w:drawing>
            </w:r>
            <w:r w:rsidDel="00000000" w:rsidR="00000000" w:rsidRPr="00000000">
              <w:rPr>
                <w:rtl w:val="0"/>
              </w:rPr>
            </w:r>
          </w:p>
          <w:p w:rsidR="00000000" w:rsidDel="00000000" w:rsidP="00000000" w:rsidRDefault="00000000" w:rsidRPr="00000000" w14:paraId="00000012">
            <w:pPr>
              <w:pBdr>
                <w:bottom w:color="000000" w:space="1" w:sz="12" w:val="single"/>
              </w:pBdr>
              <w:rPr>
                <w:rFonts w:ascii="Play" w:cs="Play" w:eastAsia="Play" w:hAnsi="Play"/>
              </w:rPr>
            </w:pPr>
            <w:r w:rsidDel="00000000" w:rsidR="00000000" w:rsidRPr="00000000">
              <w:rPr>
                <w:rtl w:val="0"/>
              </w:rPr>
            </w:r>
          </w:p>
          <w:p w:rsidR="00000000" w:rsidDel="00000000" w:rsidP="00000000" w:rsidRDefault="00000000" w:rsidRPr="00000000" w14:paraId="00000013">
            <w:pPr>
              <w:pBdr>
                <w:bottom w:color="000000" w:space="1" w:sz="12" w:val="single"/>
              </w:pBdr>
              <w:rPr>
                <w:rFonts w:ascii="Play" w:cs="Play" w:eastAsia="Play" w:hAnsi="Play"/>
              </w:rPr>
            </w:pPr>
            <w:r w:rsidDel="00000000" w:rsidR="00000000" w:rsidRPr="00000000">
              <w:rPr>
                <w:rFonts w:ascii="Play" w:cs="Play" w:eastAsia="Play" w:hAnsi="Play"/>
                <w:rtl w:val="0"/>
              </w:rPr>
              <w:t xml:space="preserve">The Ruggedized mobile cases are designed to provide enhanced protection for smartphones against drops, impacts, water, dust, and other environmental hazards. Here are some key features that contribute to their ruggedness:</w:t>
            </w:r>
          </w:p>
          <w:p w:rsidR="00000000" w:rsidDel="00000000" w:rsidP="00000000" w:rsidRDefault="00000000" w:rsidRPr="00000000" w14:paraId="00000014">
            <w:pPr>
              <w:pBdr>
                <w:bottom w:color="000000" w:space="1" w:sz="12" w:val="single"/>
              </w:pBdr>
              <w:rPr>
                <w:rFonts w:ascii="Play" w:cs="Play" w:eastAsia="Play" w:hAnsi="Play"/>
              </w:rPr>
            </w:pPr>
            <w:r w:rsidDel="00000000" w:rsidR="00000000" w:rsidRPr="00000000">
              <w:rPr>
                <w:rtl w:val="0"/>
              </w:rPr>
            </w:r>
          </w:p>
          <w:p w:rsidR="00000000" w:rsidDel="00000000" w:rsidP="00000000" w:rsidRDefault="00000000" w:rsidRPr="00000000" w14:paraId="00000015">
            <w:pPr>
              <w:pBdr>
                <w:bottom w:color="000000" w:space="1" w:sz="12" w:val="single"/>
              </w:pBdr>
              <w:rPr>
                <w:rFonts w:ascii="Play" w:cs="Play" w:eastAsia="Play" w:hAnsi="Play"/>
              </w:rPr>
            </w:pPr>
            <w:r w:rsidDel="00000000" w:rsidR="00000000" w:rsidRPr="00000000">
              <w:rPr>
                <w:rFonts w:ascii="Play" w:cs="Play" w:eastAsia="Play" w:hAnsi="Play"/>
                <w:rtl w:val="0"/>
              </w:rPr>
              <w:t xml:space="preserve">Material Composition</w:t>
            </w:r>
          </w:p>
          <w:p w:rsidR="00000000" w:rsidDel="00000000" w:rsidP="00000000" w:rsidRDefault="00000000" w:rsidRPr="00000000" w14:paraId="00000016">
            <w:pPr>
              <w:pBdr>
                <w:bottom w:color="000000" w:space="1" w:sz="12" w:val="single"/>
              </w:pBdr>
              <w:rPr>
                <w:rFonts w:ascii="Play" w:cs="Play" w:eastAsia="Play" w:hAnsi="Play"/>
              </w:rPr>
            </w:pPr>
            <w:r w:rsidDel="00000000" w:rsidR="00000000" w:rsidRPr="00000000">
              <w:rPr>
                <w:rFonts w:ascii="Play" w:cs="Play" w:eastAsia="Play" w:hAnsi="Play"/>
                <w:rtl w:val="0"/>
              </w:rPr>
              <w:t xml:space="preserve">Rubberized Edges: Increases grip and adds cushioning during drops.</w:t>
            </w:r>
          </w:p>
          <w:p w:rsidR="00000000" w:rsidDel="00000000" w:rsidP="00000000" w:rsidRDefault="00000000" w:rsidRPr="00000000" w14:paraId="00000017">
            <w:pPr>
              <w:pBdr>
                <w:bottom w:color="000000" w:space="1" w:sz="12" w:val="single"/>
              </w:pBdr>
              <w:rPr>
                <w:rFonts w:ascii="Play" w:cs="Play" w:eastAsia="Play" w:hAnsi="Play"/>
              </w:rPr>
            </w:pPr>
            <w:r w:rsidDel="00000000" w:rsidR="00000000" w:rsidRPr="00000000">
              <w:rPr>
                <w:rFonts w:ascii="Play" w:cs="Play" w:eastAsia="Play" w:hAnsi="Play"/>
                <w:rtl w:val="0"/>
              </w:rPr>
              <w:t xml:space="preserve">Aluminum Frames: Some cases use metal for added durability.</w:t>
            </w:r>
          </w:p>
          <w:p w:rsidR="00000000" w:rsidDel="00000000" w:rsidP="00000000" w:rsidRDefault="00000000" w:rsidRPr="00000000" w14:paraId="00000018">
            <w:pPr>
              <w:pBdr>
                <w:bottom w:color="000000" w:space="1" w:sz="12" w:val="single"/>
              </w:pBdr>
              <w:rPr>
                <w:rFonts w:ascii="Play" w:cs="Play" w:eastAsia="Play" w:hAnsi="Play"/>
              </w:rPr>
            </w:pPr>
            <w:r w:rsidDel="00000000" w:rsidR="00000000" w:rsidRPr="00000000">
              <w:rPr>
                <w:rtl w:val="0"/>
              </w:rPr>
            </w:r>
          </w:p>
          <w:p w:rsidR="00000000" w:rsidDel="00000000" w:rsidP="00000000" w:rsidRDefault="00000000" w:rsidRPr="00000000" w14:paraId="00000019">
            <w:pPr>
              <w:pBdr>
                <w:bottom w:color="000000" w:space="1" w:sz="12" w:val="single"/>
              </w:pBdr>
              <w:rPr>
                <w:rFonts w:ascii="Play" w:cs="Play" w:eastAsia="Play" w:hAnsi="Play"/>
              </w:rPr>
            </w:pPr>
            <w:r w:rsidDel="00000000" w:rsidR="00000000" w:rsidRPr="00000000">
              <w:rPr>
                <w:rFonts w:ascii="Play" w:cs="Play" w:eastAsia="Play" w:hAnsi="Play"/>
                <w:rtl w:val="0"/>
              </w:rPr>
              <w:t xml:space="preserve">Drop Protection</w:t>
            </w:r>
          </w:p>
          <w:p w:rsidR="00000000" w:rsidDel="00000000" w:rsidP="00000000" w:rsidRDefault="00000000" w:rsidRPr="00000000" w14:paraId="0000001A">
            <w:pPr>
              <w:pBdr>
                <w:bottom w:color="000000" w:space="1" w:sz="12" w:val="single"/>
              </w:pBdr>
              <w:rPr>
                <w:rFonts w:ascii="Play" w:cs="Play" w:eastAsia="Play" w:hAnsi="Play"/>
              </w:rPr>
            </w:pPr>
            <w:r w:rsidDel="00000000" w:rsidR="00000000" w:rsidRPr="00000000">
              <w:rPr>
                <w:rFonts w:ascii="Play" w:cs="Play" w:eastAsia="Play" w:hAnsi="Play"/>
                <w:rtl w:val="0"/>
              </w:rPr>
              <w:t xml:space="preserve">Multi-layered Design: Combining different materials for better shock absorption.</w:t>
            </w:r>
          </w:p>
          <w:p w:rsidR="00000000" w:rsidDel="00000000" w:rsidP="00000000" w:rsidRDefault="00000000" w:rsidRPr="00000000" w14:paraId="0000001B">
            <w:pPr>
              <w:pBdr>
                <w:bottom w:color="000000" w:space="1" w:sz="12" w:val="single"/>
              </w:pBdr>
              <w:rPr>
                <w:rFonts w:ascii="Play" w:cs="Play" w:eastAsia="Play" w:hAnsi="Play"/>
              </w:rPr>
            </w:pPr>
            <w:r w:rsidDel="00000000" w:rsidR="00000000" w:rsidRPr="00000000">
              <w:rPr>
                <w:rtl w:val="0"/>
              </w:rPr>
            </w:r>
          </w:p>
          <w:p w:rsidR="00000000" w:rsidDel="00000000" w:rsidP="00000000" w:rsidRDefault="00000000" w:rsidRPr="00000000" w14:paraId="0000001C">
            <w:pPr>
              <w:pBdr>
                <w:bottom w:color="000000" w:space="1" w:sz="12" w:val="single"/>
              </w:pBdr>
              <w:rPr>
                <w:rFonts w:ascii="Play" w:cs="Play" w:eastAsia="Play" w:hAnsi="Play"/>
              </w:rPr>
            </w:pPr>
            <w:r w:rsidDel="00000000" w:rsidR="00000000" w:rsidRPr="00000000">
              <w:rPr>
                <w:rFonts w:ascii="Play" w:cs="Play" w:eastAsia="Play" w:hAnsi="Play"/>
                <w:rtl w:val="0"/>
              </w:rPr>
              <w:t xml:space="preserve">Screen Protection</w:t>
            </w:r>
          </w:p>
          <w:p w:rsidR="00000000" w:rsidDel="00000000" w:rsidP="00000000" w:rsidRDefault="00000000" w:rsidRPr="00000000" w14:paraId="0000001D">
            <w:pPr>
              <w:pBdr>
                <w:bottom w:color="000000" w:space="1" w:sz="12" w:val="single"/>
              </w:pBdr>
              <w:rPr>
                <w:rFonts w:ascii="Play" w:cs="Play" w:eastAsia="Play" w:hAnsi="Play"/>
              </w:rPr>
            </w:pPr>
            <w:r w:rsidDel="00000000" w:rsidR="00000000" w:rsidRPr="00000000">
              <w:rPr>
                <w:rFonts w:ascii="Play" w:cs="Play" w:eastAsia="Play" w:hAnsi="Play"/>
                <w:rtl w:val="0"/>
              </w:rPr>
              <w:t xml:space="preserve">Raised Edges: Higher bezels around the screen prevent direct contact with surfaces during impact.</w:t>
            </w:r>
          </w:p>
          <w:p w:rsidR="00000000" w:rsidDel="00000000" w:rsidP="00000000" w:rsidRDefault="00000000" w:rsidRPr="00000000" w14:paraId="0000001E">
            <w:pPr>
              <w:pBdr>
                <w:bottom w:color="000000" w:space="1" w:sz="12" w:val="single"/>
              </w:pBdr>
              <w:rPr>
                <w:rFonts w:ascii="Play" w:cs="Play" w:eastAsia="Play" w:hAnsi="Play"/>
              </w:rPr>
            </w:pPr>
            <w:r w:rsidDel="00000000" w:rsidR="00000000" w:rsidRPr="00000000">
              <w:rPr>
                <w:rtl w:val="0"/>
              </w:rPr>
            </w:r>
          </w:p>
          <w:p w:rsidR="00000000" w:rsidDel="00000000" w:rsidP="00000000" w:rsidRDefault="00000000" w:rsidRPr="00000000" w14:paraId="0000001F">
            <w:pPr>
              <w:pBdr>
                <w:bottom w:color="000000" w:space="1" w:sz="12" w:val="single"/>
              </w:pBdr>
              <w:rPr>
                <w:rFonts w:ascii="Play" w:cs="Play" w:eastAsia="Play" w:hAnsi="Play"/>
              </w:rPr>
            </w:pPr>
            <w:r w:rsidDel="00000000" w:rsidR="00000000" w:rsidRPr="00000000">
              <w:rPr>
                <w:rFonts w:ascii="Play" w:cs="Play" w:eastAsia="Play" w:hAnsi="Play"/>
                <w:rtl w:val="0"/>
              </w:rPr>
              <w:t xml:space="preserve">Grip and Handling</w:t>
            </w:r>
          </w:p>
          <w:p w:rsidR="00000000" w:rsidDel="00000000" w:rsidP="00000000" w:rsidRDefault="00000000" w:rsidRPr="00000000" w14:paraId="00000020">
            <w:pPr>
              <w:pBdr>
                <w:bottom w:color="000000" w:space="1" w:sz="12" w:val="single"/>
              </w:pBdr>
              <w:rPr>
                <w:rFonts w:ascii="Play" w:cs="Play" w:eastAsia="Play" w:hAnsi="Play"/>
              </w:rPr>
            </w:pPr>
            <w:r w:rsidDel="00000000" w:rsidR="00000000" w:rsidRPr="00000000">
              <w:rPr>
                <w:rFonts w:ascii="Play" w:cs="Play" w:eastAsia="Play" w:hAnsi="Play"/>
                <w:rtl w:val="0"/>
              </w:rPr>
              <w:t xml:space="preserve">Textured Surfaces: Enhances grip to reduce the chance of drops.</w:t>
            </w:r>
          </w:p>
          <w:p w:rsidR="00000000" w:rsidDel="00000000" w:rsidP="00000000" w:rsidRDefault="00000000" w:rsidRPr="00000000" w14:paraId="00000021">
            <w:pPr>
              <w:pBdr>
                <w:bottom w:color="000000" w:space="1" w:sz="12" w:val="single"/>
              </w:pBdr>
              <w:rPr>
                <w:rFonts w:ascii="Play" w:cs="Play" w:eastAsia="Play" w:hAnsi="Play"/>
              </w:rPr>
            </w:pPr>
            <w:r w:rsidDel="00000000" w:rsidR="00000000" w:rsidRPr="00000000">
              <w:rPr>
                <w:rtl w:val="0"/>
              </w:rPr>
            </w:r>
          </w:p>
        </w:tc>
      </w:tr>
    </w:tbl>
    <w:p w:rsidR="00000000" w:rsidDel="00000000" w:rsidP="00000000" w:rsidRDefault="00000000" w:rsidRPr="00000000" w14:paraId="00000023">
      <w:pPr>
        <w:rPr>
          <w:rFonts w:ascii="Arial" w:cs="Arial" w:eastAsia="Arial" w:hAnsi="Arial"/>
          <w:sz w:val="24"/>
          <w:szCs w:val="24"/>
        </w:rPr>
      </w:pPr>
      <w:r w:rsidDel="00000000" w:rsidR="00000000" w:rsidRPr="00000000">
        <w:rPr>
          <w:rtl w:val="0"/>
        </w:rPr>
      </w:r>
    </w:p>
    <w:sdt>
      <w:sdtPr>
        <w:lock w:val="contentLocked"/>
        <w:tag w:val="goog_rdk_1"/>
      </w:sdtPr>
      <w:sdtContent>
        <w:tbl>
          <w:tblPr>
            <w:tblStyle w:val="Table3"/>
            <w:tblW w:w="13886.999999999998"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704"/>
            <w:gridCol w:w="8183"/>
            <w:tblGridChange w:id="0">
              <w:tblGrid>
                <w:gridCol w:w="5704"/>
                <w:gridCol w:w="8183"/>
              </w:tblGrid>
            </w:tblGridChange>
          </w:tblGrid>
          <w:tr>
            <w:trPr>
              <w:cantSplit w:val="0"/>
              <w:tblHeader w:val="0"/>
            </w:trPr>
            <w:tc>
              <w:tcPr>
                <w:shd w:fill="aeaeae" w:val="clear"/>
              </w:tcPr>
              <w:p w:rsidR="00000000" w:rsidDel="00000000" w:rsidP="00000000" w:rsidRDefault="00000000" w:rsidRPr="00000000" w14:paraId="00000024">
                <w:pPr>
                  <w:spacing w:after="160" w:line="259" w:lineRule="auto"/>
                  <w:rPr>
                    <w:rFonts w:ascii="Play" w:cs="Play" w:eastAsia="Play" w:hAnsi="Play"/>
                  </w:rPr>
                </w:pPr>
                <w:r w:rsidDel="00000000" w:rsidR="00000000" w:rsidRPr="00000000">
                  <w:rPr>
                    <w:rFonts w:ascii="Play" w:cs="Play" w:eastAsia="Play" w:hAnsi="Play"/>
                    <w:rtl w:val="0"/>
                  </w:rPr>
                  <w:t xml:space="preserve">Step 2</w:t>
                </w:r>
              </w:p>
            </w:tc>
            <w:tc>
              <w:tcPr>
                <w:shd w:fill="aeaeae" w:val="clear"/>
              </w:tcPr>
              <w:p w:rsidR="00000000" w:rsidDel="00000000" w:rsidP="00000000" w:rsidRDefault="00000000" w:rsidRPr="00000000" w14:paraId="00000025">
                <w:pPr>
                  <w:numPr>
                    <w:ilvl w:val="0"/>
                    <w:numId w:val="1"/>
                  </w:numPr>
                  <w:spacing w:after="160" w:line="259" w:lineRule="auto"/>
                  <w:ind w:left="720" w:hanging="360"/>
                  <w:rPr>
                    <w:rFonts w:ascii="Play" w:cs="Play" w:eastAsia="Play" w:hAnsi="Play"/>
                  </w:rPr>
                </w:pPr>
                <w:r w:rsidDel="00000000" w:rsidR="00000000" w:rsidRPr="00000000">
                  <w:rPr>
                    <w:rFonts w:ascii="Play" w:cs="Play" w:eastAsia="Play" w:hAnsi="Play"/>
                    <w:rtl w:val="0"/>
                  </w:rPr>
                  <w:t xml:space="preserve">Ideating for the ruggedized laptop</w:t>
                </w:r>
              </w:p>
            </w:tc>
          </w:tr>
        </w:tbl>
      </w:sdtContent>
    </w:sdt>
    <w:p w:rsidR="00000000" w:rsidDel="00000000" w:rsidP="00000000" w:rsidRDefault="00000000" w:rsidRPr="00000000" w14:paraId="00000026">
      <w:pPr>
        <w:spacing w:after="0" w:line="240" w:lineRule="auto"/>
        <w:rPr>
          <w:rFonts w:ascii="Arial" w:cs="Arial" w:eastAsia="Arial" w:hAnsi="Arial"/>
          <w:sz w:val="24"/>
          <w:szCs w:val="24"/>
        </w:rPr>
      </w:pPr>
      <w:r w:rsidDel="00000000" w:rsidR="00000000" w:rsidRPr="00000000">
        <w:rPr>
          <w:rtl w:val="0"/>
        </w:rPr>
      </w:r>
    </w:p>
    <w:tbl>
      <w:tblPr>
        <w:tblStyle w:val="Table4"/>
        <w:tblW w:w="13958.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704"/>
        <w:gridCol w:w="8254"/>
        <w:tblGridChange w:id="0">
          <w:tblGrid>
            <w:gridCol w:w="5704"/>
            <w:gridCol w:w="8254"/>
          </w:tblGrid>
        </w:tblGridChange>
      </w:tblGrid>
      <w:tr>
        <w:trPr>
          <w:cantSplit w:val="0"/>
          <w:tblHeader w:val="0"/>
        </w:trPr>
        <w:tc>
          <w:tcPr>
            <w:shd w:fill="aeaeae" w:val="clear"/>
          </w:tcPr>
          <w:p w:rsidR="00000000" w:rsidDel="00000000" w:rsidP="00000000" w:rsidRDefault="00000000" w:rsidRPr="00000000" w14:paraId="00000027">
            <w:pPr>
              <w:tabs>
                <w:tab w:val="left" w:leader="none" w:pos="1950"/>
              </w:tabs>
              <w:rPr>
                <w:rFonts w:ascii="Play" w:cs="Play" w:eastAsia="Play" w:hAnsi="Play"/>
              </w:rPr>
            </w:pPr>
            <w:r w:rsidDel="00000000" w:rsidR="00000000" w:rsidRPr="00000000">
              <w:rPr>
                <w:rFonts w:ascii="Play" w:cs="Play" w:eastAsia="Play" w:hAnsi="Play"/>
                <w:rtl w:val="0"/>
              </w:rPr>
              <w:t xml:space="preserve">Section 1</w:t>
            </w:r>
          </w:p>
        </w:tc>
        <w:tc>
          <w:tcPr>
            <w:shd w:fill="aeaeae" w:val="clear"/>
          </w:tcPr>
          <w:p w:rsidR="00000000" w:rsidDel="00000000" w:rsidP="00000000" w:rsidRDefault="00000000" w:rsidRPr="00000000" w14:paraId="00000028">
            <w:pPr>
              <w:rPr>
                <w:rFonts w:ascii="Play" w:cs="Play" w:eastAsia="Play" w:hAnsi="Play"/>
              </w:rPr>
            </w:pPr>
            <w:r w:rsidDel="00000000" w:rsidR="00000000" w:rsidRPr="00000000">
              <w:rPr>
                <w:rtl w:val="0"/>
              </w:rPr>
            </w:r>
          </w:p>
        </w:tc>
      </w:tr>
      <w:tr>
        <w:trPr>
          <w:cantSplit w:val="0"/>
          <w:tblHeader w:val="0"/>
        </w:trPr>
        <w:tc>
          <w:tcPr>
            <w:gridSpan w:val="2"/>
          </w:tcPr>
          <w:p w:rsidR="00000000" w:rsidDel="00000000" w:rsidP="00000000" w:rsidRDefault="00000000" w:rsidRPr="00000000" w14:paraId="00000029">
            <w:pPr>
              <w:rPr>
                <w:rFonts w:ascii="Play" w:cs="Play" w:eastAsia="Play" w:hAnsi="Play"/>
              </w:rPr>
            </w:pPr>
            <w:r w:rsidDel="00000000" w:rsidR="00000000" w:rsidRPr="00000000">
              <w:rPr>
                <w:rtl w:val="0"/>
              </w:rPr>
            </w:r>
          </w:p>
          <w:p w:rsidR="00000000" w:rsidDel="00000000" w:rsidP="00000000" w:rsidRDefault="00000000" w:rsidRPr="00000000" w14:paraId="0000002A">
            <w:pPr>
              <w:rPr>
                <w:rFonts w:ascii="Play" w:cs="Play" w:eastAsia="Play" w:hAnsi="Play"/>
              </w:rPr>
            </w:pPr>
            <w:r w:rsidDel="00000000" w:rsidR="00000000" w:rsidRPr="00000000">
              <w:rPr>
                <w:rFonts w:ascii="Play" w:cs="Play" w:eastAsia="Play" w:hAnsi="Play"/>
                <w:rtl w:val="0"/>
              </w:rPr>
              <w:t xml:space="preserve">Task: Ideate and finalise the design of your ruggedised laptop. Draw a sketch of your ruggedised laptop design, briefly explain the key features of the design.</w:t>
            </w:r>
          </w:p>
          <w:p w:rsidR="00000000" w:rsidDel="00000000" w:rsidP="00000000" w:rsidRDefault="00000000" w:rsidRPr="00000000" w14:paraId="0000002B">
            <w:pPr>
              <w:rPr>
                <w:rFonts w:ascii="Play" w:cs="Play" w:eastAsia="Play" w:hAnsi="Play"/>
                <w:b w:val="1"/>
              </w:rPr>
            </w:pPr>
            <w:r w:rsidDel="00000000" w:rsidR="00000000" w:rsidRPr="00000000">
              <w:rPr>
                <w:rtl w:val="0"/>
              </w:rPr>
            </w:r>
          </w:p>
          <w:p w:rsidR="00000000" w:rsidDel="00000000" w:rsidP="00000000" w:rsidRDefault="00000000" w:rsidRPr="00000000" w14:paraId="0000002C">
            <w:pPr>
              <w:pBdr>
                <w:bottom w:color="000000" w:space="1" w:sz="12" w:val="single"/>
              </w:pBdr>
              <w:jc w:val="center"/>
              <w:rPr>
                <w:rFonts w:ascii="Play" w:cs="Play" w:eastAsia="Play" w:hAnsi="Play"/>
              </w:rPr>
            </w:pPr>
            <w:r w:rsidDel="00000000" w:rsidR="00000000" w:rsidRPr="00000000">
              <w:rPr>
                <w:rFonts w:ascii="Play" w:cs="Play" w:eastAsia="Play" w:hAnsi="Play"/>
              </w:rPr>
              <w:drawing>
                <wp:inline distB="114300" distT="114300" distL="114300" distR="114300">
                  <wp:extent cx="3943350" cy="3943350"/>
                  <wp:effectExtent b="0" l="0" r="0" t="0"/>
                  <wp:docPr id="65" name="image3.png"/>
                  <a:graphic>
                    <a:graphicData uri="http://schemas.openxmlformats.org/drawingml/2006/picture">
                      <pic:pic>
                        <pic:nvPicPr>
                          <pic:cNvPr id="0" name="image3.png"/>
                          <pic:cNvPicPr preferRelativeResize="0"/>
                        </pic:nvPicPr>
                        <pic:blipFill>
                          <a:blip r:embed="rId8"/>
                          <a:srcRect b="0" l="0" r="0" t="0"/>
                          <a:stretch>
                            <a:fillRect/>
                          </a:stretch>
                        </pic:blipFill>
                        <pic:spPr>
                          <a:xfrm>
                            <a:off x="0" y="0"/>
                            <a:ext cx="3943350" cy="3943350"/>
                          </a:xfrm>
                          <a:prstGeom prst="rect"/>
                          <a:ln/>
                        </pic:spPr>
                      </pic:pic>
                    </a:graphicData>
                  </a:graphic>
                </wp:inline>
              </w:drawing>
            </w:r>
            <w:r w:rsidDel="00000000" w:rsidR="00000000" w:rsidRPr="00000000">
              <w:rPr>
                <w:rtl w:val="0"/>
              </w:rPr>
            </w:r>
          </w:p>
          <w:p w:rsidR="00000000" w:rsidDel="00000000" w:rsidP="00000000" w:rsidRDefault="00000000" w:rsidRPr="00000000" w14:paraId="0000002D">
            <w:pPr>
              <w:pBdr>
                <w:bottom w:color="000000" w:space="1" w:sz="12" w:val="single"/>
              </w:pBdr>
              <w:rPr>
                <w:rFonts w:ascii="Play" w:cs="Play" w:eastAsia="Play" w:hAnsi="Play"/>
              </w:rPr>
            </w:pPr>
            <w:r w:rsidDel="00000000" w:rsidR="00000000" w:rsidRPr="00000000">
              <w:rPr>
                <w:rtl w:val="0"/>
              </w:rPr>
            </w:r>
          </w:p>
          <w:p w:rsidR="00000000" w:rsidDel="00000000" w:rsidP="00000000" w:rsidRDefault="00000000" w:rsidRPr="00000000" w14:paraId="0000002E">
            <w:pPr>
              <w:pBdr>
                <w:bottom w:color="000000" w:space="1" w:sz="12" w:val="single"/>
              </w:pBdr>
              <w:rPr>
                <w:rFonts w:ascii="Play" w:cs="Play" w:eastAsia="Play" w:hAnsi="Play"/>
              </w:rPr>
            </w:pPr>
            <w:r w:rsidDel="00000000" w:rsidR="00000000" w:rsidRPr="00000000">
              <w:rPr>
                <w:rtl w:val="0"/>
              </w:rPr>
            </w:r>
          </w:p>
          <w:p w:rsidR="00000000" w:rsidDel="00000000" w:rsidP="00000000" w:rsidRDefault="00000000" w:rsidRPr="00000000" w14:paraId="0000002F">
            <w:pPr>
              <w:pBdr>
                <w:bottom w:color="000000" w:space="1" w:sz="12" w:val="single"/>
              </w:pBdr>
              <w:rPr>
                <w:rFonts w:ascii="Play" w:cs="Play" w:eastAsia="Play" w:hAnsi="Play"/>
              </w:rPr>
            </w:pPr>
            <w:r w:rsidDel="00000000" w:rsidR="00000000" w:rsidRPr="00000000">
              <w:rPr>
                <w:rFonts w:ascii="Play" w:cs="Play" w:eastAsia="Play" w:hAnsi="Play"/>
                <w:rtl w:val="0"/>
              </w:rPr>
              <w:t xml:space="preserve">The laptop casing looks like a heavy metal briefcase as they are known to provide strength and durability! The briefcase style not only enhances portability but also offers robust protection, ensuring that users can confidently carry their technology wherever they go.</w:t>
            </w:r>
          </w:p>
          <w:p w:rsidR="00000000" w:rsidDel="00000000" w:rsidP="00000000" w:rsidRDefault="00000000" w:rsidRPr="00000000" w14:paraId="00000030">
            <w:pPr>
              <w:pBdr>
                <w:bottom w:color="000000" w:space="1" w:sz="12" w:val="single"/>
              </w:pBdr>
              <w:rPr>
                <w:rFonts w:ascii="Play" w:cs="Play" w:eastAsia="Play" w:hAnsi="Play"/>
              </w:rPr>
            </w:pPr>
            <w:r w:rsidDel="00000000" w:rsidR="00000000" w:rsidRPr="00000000">
              <w:rPr>
                <w:rtl w:val="0"/>
              </w:rPr>
            </w:r>
          </w:p>
          <w:p w:rsidR="00000000" w:rsidDel="00000000" w:rsidP="00000000" w:rsidRDefault="00000000" w:rsidRPr="00000000" w14:paraId="00000031">
            <w:pPr>
              <w:pBdr>
                <w:bottom w:color="000000" w:space="1" w:sz="12" w:val="single"/>
              </w:pBdr>
              <w:rPr>
                <w:rFonts w:ascii="Play" w:cs="Play" w:eastAsia="Play" w:hAnsi="Play"/>
              </w:rPr>
            </w:pPr>
            <w:r w:rsidDel="00000000" w:rsidR="00000000" w:rsidRPr="00000000">
              <w:rPr>
                <w:rFonts w:ascii="Play" w:cs="Play" w:eastAsia="Play" w:hAnsi="Play"/>
                <w:rtl w:val="0"/>
              </w:rPr>
              <w:t xml:space="preserve">Exterior Material</w:t>
            </w:r>
          </w:p>
          <w:p w:rsidR="00000000" w:rsidDel="00000000" w:rsidP="00000000" w:rsidRDefault="00000000" w:rsidRPr="00000000" w14:paraId="00000032">
            <w:pPr>
              <w:pBdr>
                <w:bottom w:color="000000" w:space="1" w:sz="12" w:val="single"/>
              </w:pBdr>
              <w:rPr>
                <w:rFonts w:ascii="Play" w:cs="Play" w:eastAsia="Play" w:hAnsi="Play"/>
              </w:rPr>
            </w:pPr>
            <w:r w:rsidDel="00000000" w:rsidR="00000000" w:rsidRPr="00000000">
              <w:rPr>
                <w:rFonts w:ascii="Play" w:cs="Play" w:eastAsia="Play" w:hAnsi="Play"/>
                <w:rtl w:val="0"/>
              </w:rPr>
              <w:t xml:space="preserve">High-Density Polycarbonate Outer Layer: A lightweight, impact-resistant outer casing that mimics the look of leather or high-end fabric often used in briefcases.</w:t>
            </w:r>
          </w:p>
          <w:p w:rsidR="00000000" w:rsidDel="00000000" w:rsidP="00000000" w:rsidRDefault="00000000" w:rsidRPr="00000000" w14:paraId="00000033">
            <w:pPr>
              <w:pBdr>
                <w:bottom w:color="000000" w:space="1" w:sz="12" w:val="single"/>
              </w:pBdr>
              <w:rPr>
                <w:rFonts w:ascii="Play" w:cs="Play" w:eastAsia="Play" w:hAnsi="Play"/>
              </w:rPr>
            </w:pPr>
            <w:r w:rsidDel="00000000" w:rsidR="00000000" w:rsidRPr="00000000">
              <w:rPr>
                <w:rFonts w:ascii="Play" w:cs="Play" w:eastAsia="Play" w:hAnsi="Play"/>
                <w:rtl w:val="0"/>
              </w:rPr>
              <w:t xml:space="preserve">Reinforced Corners: Extra protection at potential impact zones like corners, ensuring durability during drops.</w:t>
            </w:r>
          </w:p>
          <w:p w:rsidR="00000000" w:rsidDel="00000000" w:rsidP="00000000" w:rsidRDefault="00000000" w:rsidRPr="00000000" w14:paraId="00000034">
            <w:pPr>
              <w:pBdr>
                <w:bottom w:color="000000" w:space="1" w:sz="12" w:val="single"/>
              </w:pBdr>
              <w:rPr>
                <w:rFonts w:ascii="Play" w:cs="Play" w:eastAsia="Play" w:hAnsi="Play"/>
              </w:rPr>
            </w:pPr>
            <w:r w:rsidDel="00000000" w:rsidR="00000000" w:rsidRPr="00000000">
              <w:rPr>
                <w:rtl w:val="0"/>
              </w:rPr>
            </w:r>
          </w:p>
          <w:p w:rsidR="00000000" w:rsidDel="00000000" w:rsidP="00000000" w:rsidRDefault="00000000" w:rsidRPr="00000000" w14:paraId="00000035">
            <w:pPr>
              <w:pBdr>
                <w:bottom w:color="000000" w:space="1" w:sz="12" w:val="single"/>
              </w:pBdr>
              <w:rPr>
                <w:rFonts w:ascii="Play" w:cs="Play" w:eastAsia="Play" w:hAnsi="Play"/>
              </w:rPr>
            </w:pPr>
            <w:r w:rsidDel="00000000" w:rsidR="00000000" w:rsidRPr="00000000">
              <w:rPr>
                <w:rFonts w:ascii="Play" w:cs="Play" w:eastAsia="Play" w:hAnsi="Play"/>
                <w:rtl w:val="0"/>
              </w:rPr>
              <w:t xml:space="preserve">Interior Design</w:t>
            </w:r>
          </w:p>
          <w:p w:rsidR="00000000" w:rsidDel="00000000" w:rsidP="00000000" w:rsidRDefault="00000000" w:rsidRPr="00000000" w14:paraId="00000036">
            <w:pPr>
              <w:pBdr>
                <w:bottom w:color="000000" w:space="1" w:sz="12" w:val="single"/>
              </w:pBdr>
              <w:rPr>
                <w:rFonts w:ascii="Play" w:cs="Play" w:eastAsia="Play" w:hAnsi="Play"/>
              </w:rPr>
            </w:pPr>
            <w:r w:rsidDel="00000000" w:rsidR="00000000" w:rsidRPr="00000000">
              <w:rPr>
                <w:rFonts w:ascii="Play" w:cs="Play" w:eastAsia="Play" w:hAnsi="Play"/>
                <w:rtl w:val="0"/>
              </w:rPr>
              <w:t xml:space="preserve">Shock-Absorbing case: The laptop is housed in a custom-fit case that absorbs impacts during transport or harsh drops.</w:t>
            </w:r>
          </w:p>
          <w:p w:rsidR="00000000" w:rsidDel="00000000" w:rsidP="00000000" w:rsidRDefault="00000000" w:rsidRPr="00000000" w14:paraId="00000037">
            <w:pPr>
              <w:pBdr>
                <w:bottom w:color="000000" w:space="1" w:sz="12" w:val="single"/>
              </w:pBdr>
              <w:rPr>
                <w:rFonts w:ascii="Play" w:cs="Play" w:eastAsia="Play" w:hAnsi="Play"/>
              </w:rPr>
            </w:pPr>
            <w:r w:rsidDel="00000000" w:rsidR="00000000" w:rsidRPr="00000000">
              <w:rPr>
                <w:rtl w:val="0"/>
              </w:rPr>
            </w:r>
          </w:p>
          <w:p w:rsidR="00000000" w:rsidDel="00000000" w:rsidP="00000000" w:rsidRDefault="00000000" w:rsidRPr="00000000" w14:paraId="00000038">
            <w:pPr>
              <w:pBdr>
                <w:bottom w:color="000000" w:space="1" w:sz="12" w:val="single"/>
              </w:pBdr>
              <w:rPr>
                <w:rFonts w:ascii="Play" w:cs="Play" w:eastAsia="Play" w:hAnsi="Play"/>
              </w:rPr>
            </w:pPr>
            <w:r w:rsidDel="00000000" w:rsidR="00000000" w:rsidRPr="00000000">
              <w:rPr>
                <w:rFonts w:ascii="Play" w:cs="Play" w:eastAsia="Play" w:hAnsi="Play"/>
                <w:rtl w:val="0"/>
              </w:rPr>
              <w:t xml:space="preserve">Display</w:t>
            </w:r>
          </w:p>
          <w:p w:rsidR="00000000" w:rsidDel="00000000" w:rsidP="00000000" w:rsidRDefault="00000000" w:rsidRPr="00000000" w14:paraId="00000039">
            <w:pPr>
              <w:pBdr>
                <w:bottom w:color="000000" w:space="1" w:sz="12" w:val="single"/>
              </w:pBdr>
              <w:rPr>
                <w:rFonts w:ascii="Play" w:cs="Play" w:eastAsia="Play" w:hAnsi="Play"/>
              </w:rPr>
            </w:pPr>
            <w:r w:rsidDel="00000000" w:rsidR="00000000" w:rsidRPr="00000000">
              <w:rPr>
                <w:rFonts w:ascii="Play" w:cs="Play" w:eastAsia="Play" w:hAnsi="Play"/>
                <w:rtl w:val="0"/>
              </w:rPr>
              <w:t xml:space="preserve">Anti-Glare, Reinforced Screen: A high-resolution display protected by shatter-resistant glass.</w:t>
            </w:r>
          </w:p>
          <w:p w:rsidR="00000000" w:rsidDel="00000000" w:rsidP="00000000" w:rsidRDefault="00000000" w:rsidRPr="00000000" w14:paraId="0000003A">
            <w:pPr>
              <w:pBdr>
                <w:bottom w:color="000000" w:space="1" w:sz="12" w:val="single"/>
              </w:pBdr>
              <w:rPr>
                <w:rFonts w:ascii="Play" w:cs="Play" w:eastAsia="Play" w:hAnsi="Play"/>
              </w:rPr>
            </w:pPr>
            <w:r w:rsidDel="00000000" w:rsidR="00000000" w:rsidRPr="00000000">
              <w:rPr>
                <w:rtl w:val="0"/>
              </w:rPr>
            </w:r>
          </w:p>
          <w:p w:rsidR="00000000" w:rsidDel="00000000" w:rsidP="00000000" w:rsidRDefault="00000000" w:rsidRPr="00000000" w14:paraId="0000003B">
            <w:pPr>
              <w:pBdr>
                <w:bottom w:color="000000" w:space="1" w:sz="12" w:val="single"/>
              </w:pBdr>
              <w:rPr>
                <w:rFonts w:ascii="Play" w:cs="Play" w:eastAsia="Play" w:hAnsi="Play"/>
              </w:rPr>
            </w:pPr>
            <w:r w:rsidDel="00000000" w:rsidR="00000000" w:rsidRPr="00000000">
              <w:rPr>
                <w:rFonts w:ascii="Play" w:cs="Play" w:eastAsia="Play" w:hAnsi="Play"/>
                <w:rtl w:val="0"/>
              </w:rPr>
              <w:t xml:space="preserve">Security Features</w:t>
            </w:r>
          </w:p>
          <w:p w:rsidR="00000000" w:rsidDel="00000000" w:rsidP="00000000" w:rsidRDefault="00000000" w:rsidRPr="00000000" w14:paraId="0000003C">
            <w:pPr>
              <w:pBdr>
                <w:bottom w:color="000000" w:space="1" w:sz="12" w:val="single"/>
              </w:pBdr>
              <w:rPr>
                <w:rFonts w:ascii="Play" w:cs="Play" w:eastAsia="Play" w:hAnsi="Play"/>
              </w:rPr>
            </w:pPr>
            <w:r w:rsidDel="00000000" w:rsidR="00000000" w:rsidRPr="00000000">
              <w:rPr>
                <w:rFonts w:ascii="Play" w:cs="Play" w:eastAsia="Play" w:hAnsi="Play"/>
                <w:rtl w:val="0"/>
              </w:rPr>
              <w:t xml:space="preserve">Locking Mechanism: An integrated locking system to secure the laptop when not in use.</w:t>
            </w:r>
          </w:p>
          <w:p w:rsidR="00000000" w:rsidDel="00000000" w:rsidP="00000000" w:rsidRDefault="00000000" w:rsidRPr="00000000" w14:paraId="0000003D">
            <w:pPr>
              <w:pBdr>
                <w:bottom w:color="000000" w:space="1" w:sz="12" w:val="single"/>
              </w:pBdr>
              <w:rPr>
                <w:rFonts w:ascii="Play" w:cs="Play" w:eastAsia="Play" w:hAnsi="Play"/>
              </w:rPr>
            </w:pPr>
            <w:r w:rsidDel="00000000" w:rsidR="00000000" w:rsidRPr="00000000">
              <w:rPr>
                <w:rtl w:val="0"/>
              </w:rPr>
            </w:r>
          </w:p>
          <w:p w:rsidR="00000000" w:rsidDel="00000000" w:rsidP="00000000" w:rsidRDefault="00000000" w:rsidRPr="00000000" w14:paraId="0000003E">
            <w:pPr>
              <w:pBdr>
                <w:bottom w:color="000000" w:space="1" w:sz="12" w:val="single"/>
              </w:pBdr>
              <w:rPr>
                <w:rFonts w:ascii="Play" w:cs="Play" w:eastAsia="Play" w:hAnsi="Play"/>
              </w:rPr>
            </w:pPr>
            <w:r w:rsidDel="00000000" w:rsidR="00000000" w:rsidRPr="00000000">
              <w:rPr>
                <w:rtl w:val="0"/>
              </w:rPr>
            </w:r>
          </w:p>
          <w:p w:rsidR="00000000" w:rsidDel="00000000" w:rsidP="00000000" w:rsidRDefault="00000000" w:rsidRPr="00000000" w14:paraId="0000003F">
            <w:pPr>
              <w:rPr>
                <w:rFonts w:ascii="Play" w:cs="Play" w:eastAsia="Play" w:hAnsi="Play"/>
              </w:rPr>
            </w:pPr>
            <w:r w:rsidDel="00000000" w:rsidR="00000000" w:rsidRPr="00000000">
              <w:rPr>
                <w:rtl w:val="0"/>
              </w:rPr>
            </w:r>
          </w:p>
        </w:tc>
      </w:tr>
    </w:tbl>
    <w:p w:rsidR="00000000" w:rsidDel="00000000" w:rsidP="00000000" w:rsidRDefault="00000000" w:rsidRPr="00000000" w14:paraId="00000041">
      <w:pPr>
        <w:rPr/>
      </w:pPr>
      <w:r w:rsidDel="00000000" w:rsidR="00000000" w:rsidRPr="00000000">
        <w:rPr>
          <w:rtl w:val="0"/>
        </w:rPr>
      </w:r>
    </w:p>
    <w:sectPr>
      <w:headerReference r:id="rId9" w:type="default"/>
      <w:footerReference r:id="rId10" w:type="default"/>
      <w:footerReference r:id="rId11" w:type="even"/>
      <w:pgSz w:h="11906" w:w="16838" w:orient="landscape"/>
      <w:pgMar w:bottom="1440" w:top="1440" w:left="1440" w:right="1440"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Arial"/>
  <w:font w:name="Times New Roman"/>
  <w:font w:name="Courier New"/>
  <w:font w:name="Play">
    <w:embedRegular w:fontKey="{00000000-0000-0000-0000-000000000000}" r:id="rId1" w:subsetted="0"/>
    <w:embedBold w:fontKey="{00000000-0000-0000-0000-000000000000}" r:id="rId2" w:subsetted="0"/>
  </w:font>
  <w:font w:name="Noto Sans Symbols">
    <w:embedRegular w:fontKey="{00000000-0000-0000-0000-000000000000}" r:id="rId3" w:subsetted="0"/>
    <w:embedBold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43">
    <w:pPr>
      <w:keepNext w:val="0"/>
      <w:keepLines w:val="0"/>
      <w:widowControl w:val="1"/>
      <w:pBdr>
        <w:top w:space="0" w:sz="0" w:val="nil"/>
        <w:left w:space="0" w:sz="0" w:val="nil"/>
        <w:bottom w:space="0" w:sz="0" w:val="nil"/>
        <w:right w:space="0" w:sz="0" w:val="nil"/>
        <w:between w:space="0" w:sz="0" w:val="nil"/>
      </w:pBdr>
      <w:shd w:fill="auto" w:val="clear"/>
      <w:tabs>
        <w:tab w:val="right" w:leader="none" w:pos="1350"/>
        <w:tab w:val="right" w:leader="none" w:pos="13410"/>
        <w:tab w:val="right" w:leader="none" w:pos="13680"/>
      </w:tabs>
      <w:spacing w:after="0" w:before="0" w:line="240" w:lineRule="auto"/>
      <w:ind w:left="0" w:right="0" w:firstLine="0"/>
      <w:jc w:val="left"/>
      <w:rPr>
        <w:rFonts w:ascii="Arial" w:cs="Arial" w:eastAsia="Arial" w:hAnsi="Arial"/>
        <w:b w:val="0"/>
        <w:i w:val="0"/>
        <w:smallCaps w:val="0"/>
        <w:strike w:val="0"/>
        <w:color w:val="000000"/>
        <w:sz w:val="12"/>
        <w:szCs w:val="1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Pr>
      <w:drawing>
        <wp:inline distB="0" distT="0" distL="0" distR="0">
          <wp:extent cx="736600" cy="647700"/>
          <wp:effectExtent b="0" l="0" r="0" t="0"/>
          <wp:docPr descr="A picture containing text, weapon&#10;&#10;Description automatically generated" id="64" name="image1.png"/>
          <a:graphic>
            <a:graphicData uri="http://schemas.openxmlformats.org/drawingml/2006/picture">
              <pic:pic>
                <pic:nvPicPr>
                  <pic:cNvPr descr="A picture containing text, weapon&#10;&#10;Description automatically generated" id="0" name="image1.png"/>
                  <pic:cNvPicPr preferRelativeResize="0"/>
                </pic:nvPicPr>
                <pic:blipFill>
                  <a:blip r:embed="rId1"/>
                  <a:srcRect b="0" l="0" r="0" t="0"/>
                  <a:stretch>
                    <a:fillRect/>
                  </a:stretch>
                </pic:blipFill>
                <pic:spPr>
                  <a:xfrm>
                    <a:off x="0" y="0"/>
                    <a:ext cx="736600" cy="647700"/>
                  </a:xfrm>
                  <a:prstGeom prst="rect"/>
                  <a:ln/>
                </pic:spPr>
              </pic:pic>
            </a:graphicData>
          </a:graphic>
        </wp:inline>
      </w:drawing>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12"/>
        <w:szCs w:val="12"/>
        <w:u w:val="none"/>
        <w:shd w:fill="auto" w:val="clear"/>
        <w:vertAlign w:val="baseline"/>
        <w:rtl w:val="0"/>
      </w:rPr>
      <w:t xml:space="preserve">Intel</w:t>
    </w:r>
    <w:r w:rsidDel="00000000" w:rsidR="00000000" w:rsidRPr="00000000">
      <w:rPr>
        <w:rFonts w:ascii="Arial" w:cs="Arial" w:eastAsia="Arial" w:hAnsi="Arial"/>
        <w:b w:val="0"/>
        <w:i w:val="0"/>
        <w:smallCaps w:val="0"/>
        <w:strike w:val="0"/>
        <w:color w:val="000000"/>
        <w:sz w:val="12"/>
        <w:szCs w:val="12"/>
        <w:u w:val="none"/>
        <w:shd w:fill="auto" w:val="clear"/>
        <w:vertAlign w:val="superscript"/>
        <w:rtl w:val="0"/>
      </w:rPr>
      <w:t xml:space="preserve">®</w:t>
    </w:r>
    <w:r w:rsidDel="00000000" w:rsidR="00000000" w:rsidRPr="00000000">
      <w:rPr>
        <w:rFonts w:ascii="Arial" w:cs="Arial" w:eastAsia="Arial" w:hAnsi="Arial"/>
        <w:b w:val="0"/>
        <w:i w:val="0"/>
        <w:smallCaps w:val="0"/>
        <w:strike w:val="0"/>
        <w:color w:val="000000"/>
        <w:sz w:val="12"/>
        <w:szCs w:val="12"/>
        <w:u w:val="none"/>
        <w:shd w:fill="auto" w:val="clear"/>
        <w:vertAlign w:val="baseline"/>
        <w:rtl w:val="0"/>
      </w:rPr>
      <w:t xml:space="preserve"> Skills for Innovation</w:t>
      <w:tab/>
      <w:t xml:space="preserve">The Intel® Skills for Innovation Program Content was developed by Intel Corporation.  All rights reserved.   |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ab/>
    </w:r>
    <w:r w:rsidDel="00000000" w:rsidR="00000000" w:rsidRPr="00000000">
      <w:rPr>
        <w:rFonts w:ascii="Arial" w:cs="Arial" w:eastAsia="Arial" w:hAnsi="Arial"/>
        <w:b w:val="0"/>
        <w:i w:val="0"/>
        <w:smallCaps w:val="0"/>
        <w:strike w:val="0"/>
        <w:color w:val="000000"/>
        <w:sz w:val="14"/>
        <w:szCs w:val="14"/>
        <w:u w:val="none"/>
        <w:shd w:fill="auto" w:val="clear"/>
        <w:vertAlign w:val="baseline"/>
      </w:rPr>
      <w:fldChar w:fldCharType="begin"/>
      <w:instrText xml:space="preserve">PAGE</w:instrText>
      <w:fldChar w:fldCharType="separate"/>
      <w:fldChar w:fldCharType="end"/>
    </w: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44">
    <w:pPr>
      <w:keepNext w:val="0"/>
      <w:keepLines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center"/>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045">
    <w:pPr>
      <w:keepNext w:val="0"/>
      <w:keepLines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42">
    <w:pPr>
      <w:pStyle w:val="Title"/>
      <w:rPr>
        <w:rFonts w:ascii="Arial" w:cs="Arial" w:eastAsia="Arial" w:hAnsi="Arial"/>
        <w:sz w:val="24"/>
        <w:szCs w:val="24"/>
      </w:rPr>
    </w:pPr>
    <w:r w:rsidDel="00000000" w:rsidR="00000000" w:rsidRPr="00000000">
      <w:rPr>
        <w:rFonts w:ascii="Arial" w:cs="Arial" w:eastAsia="Arial" w:hAnsi="Arial"/>
        <w:sz w:val="24"/>
        <w:szCs w:val="24"/>
        <w:rtl w:val="0"/>
      </w:rPr>
      <w:t xml:space="preserve">Intel® Starter Pack</w:t>
    </w:r>
    <w:r w:rsidDel="00000000" w:rsidR="00000000" w:rsidRPr="00000000">
      <w:rPr>
        <w:rtl w:val="0"/>
      </w:rPr>
      <w:tab/>
      <w:tab/>
      <w:tab/>
      <w:tab/>
      <w:tab/>
      <w:tab/>
      <w:tab/>
      <w:tab/>
      <w:tab/>
      <w:tab/>
      <w:tab/>
      <w:tab/>
      <w:tab/>
      <w:tab/>
      <w:tab/>
    </w:r>
    <w:r w:rsidDel="00000000" w:rsidR="00000000" w:rsidRPr="00000000">
      <w:rPr>
        <w:rFonts w:ascii="Arial" w:cs="Arial" w:eastAsia="Arial" w:hAnsi="Arial"/>
        <w:sz w:val="24"/>
        <w:szCs w:val="24"/>
        <w:rtl w:val="0"/>
      </w:rPr>
      <w:t xml:space="preserve">           </w: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2"/>
        <w:szCs w:val="22"/>
        <w:lang w:val="en-US"/>
      </w:rPr>
    </w:rPrDefault>
    <w:pPrDefault>
      <w:pPr>
        <w:spacing w:after="160" w:line="259"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0" w:before="240" w:lineRule="auto"/>
    </w:pPr>
    <w:rPr>
      <w:rFonts w:ascii="Calibri" w:cs="Calibri" w:eastAsia="Calibri" w:hAnsi="Calibri"/>
      <w:b w:val="1"/>
      <w:sz w:val="32"/>
      <w:szCs w:val="32"/>
    </w:rPr>
  </w:style>
  <w:style w:type="paragraph" w:styleId="Heading2">
    <w:name w:val="heading 2"/>
    <w:basedOn w:val="Normal"/>
    <w:next w:val="Normal"/>
    <w:pPr/>
    <w:rPr>
      <w:b w:val="1"/>
      <w:sz w:val="24"/>
      <w:szCs w:val="24"/>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spacing w:after="0" w:line="240" w:lineRule="auto"/>
    </w:pPr>
    <w:rPr>
      <w:rFonts w:ascii="Calibri" w:cs="Calibri" w:eastAsia="Calibri" w:hAnsi="Calibri"/>
      <w:sz w:val="56"/>
      <w:szCs w:val="56"/>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0" w:before="240" w:lineRule="auto"/>
    </w:pPr>
    <w:rPr>
      <w:rFonts w:ascii="Calibri" w:cs="Calibri" w:eastAsia="Calibri" w:hAnsi="Calibri"/>
      <w:b w:val="1"/>
      <w:sz w:val="32"/>
      <w:szCs w:val="32"/>
    </w:rPr>
  </w:style>
  <w:style w:type="paragraph" w:styleId="Heading2">
    <w:name w:val="heading 2"/>
    <w:basedOn w:val="Normal"/>
    <w:next w:val="Normal"/>
    <w:pPr/>
    <w:rPr>
      <w:b w:val="1"/>
      <w:sz w:val="24"/>
      <w:szCs w:val="24"/>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spacing w:after="0" w:line="240" w:lineRule="auto"/>
    </w:pPr>
    <w:rPr>
      <w:rFonts w:ascii="Calibri" w:cs="Calibri" w:eastAsia="Calibri" w:hAnsi="Calibri"/>
      <w:sz w:val="56"/>
      <w:szCs w:val="56"/>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0" w:before="240" w:lineRule="auto"/>
    </w:pPr>
    <w:rPr>
      <w:rFonts w:ascii="Calibri" w:cs="Calibri" w:eastAsia="Calibri" w:hAnsi="Calibri"/>
      <w:b w:val="1"/>
      <w:sz w:val="32"/>
      <w:szCs w:val="32"/>
    </w:rPr>
  </w:style>
  <w:style w:type="paragraph" w:styleId="Heading2">
    <w:name w:val="heading 2"/>
    <w:basedOn w:val="Normal"/>
    <w:next w:val="Normal"/>
    <w:pPr/>
    <w:rPr>
      <w:b w:val="1"/>
      <w:sz w:val="24"/>
      <w:szCs w:val="24"/>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spacing w:after="0" w:line="240" w:lineRule="auto"/>
    </w:pPr>
    <w:rPr>
      <w:rFonts w:ascii="Calibri" w:cs="Calibri" w:eastAsia="Calibri" w:hAnsi="Calibri"/>
      <w:sz w:val="56"/>
      <w:szCs w:val="56"/>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0" w:before="240" w:lineRule="auto"/>
    </w:pPr>
    <w:rPr>
      <w:rFonts w:ascii="Calibri" w:cs="Calibri" w:eastAsia="Calibri" w:hAnsi="Calibri"/>
      <w:b w:val="1"/>
      <w:sz w:val="32"/>
      <w:szCs w:val="32"/>
    </w:rPr>
  </w:style>
  <w:style w:type="paragraph" w:styleId="Heading2">
    <w:name w:val="heading 2"/>
    <w:basedOn w:val="Normal"/>
    <w:next w:val="Normal"/>
    <w:pPr/>
    <w:rPr>
      <w:b w:val="1"/>
      <w:sz w:val="24"/>
      <w:szCs w:val="24"/>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spacing w:after="0" w:line="240" w:lineRule="auto"/>
    </w:pPr>
    <w:rPr>
      <w:rFonts w:ascii="Calibri" w:cs="Calibri" w:eastAsia="Calibri" w:hAnsi="Calibri"/>
      <w:sz w:val="56"/>
      <w:szCs w:val="56"/>
    </w:rPr>
  </w:style>
  <w:style w:type="paragraph" w:styleId="Normal" w:default="1">
    <w:name w:val="Normal"/>
    <w:qFormat w:val="1"/>
    <w:rsid w:val="005A070A"/>
  </w:style>
  <w:style w:type="paragraph" w:styleId="Heading1">
    <w:name w:val="heading 1"/>
    <w:basedOn w:val="Normal"/>
    <w:next w:val="Normal"/>
    <w:link w:val="Heading1Char"/>
    <w:uiPriority w:val="9"/>
    <w:qFormat w:val="1"/>
    <w:rsid w:val="00590ADC"/>
    <w:pPr>
      <w:keepNext w:val="1"/>
      <w:keepLines w:val="1"/>
      <w:spacing w:after="0" w:before="240"/>
      <w:outlineLvl w:val="0"/>
    </w:pPr>
    <w:rPr>
      <w:rFonts w:asciiTheme="majorHAnsi" w:cstheme="majorBidi" w:eastAsiaTheme="majorEastAsia" w:hAnsiTheme="majorHAnsi"/>
      <w:b w:val="1"/>
      <w:bCs w:val="1"/>
      <w:sz w:val="32"/>
      <w:szCs w:val="32"/>
      <w:lang w:val="en-US"/>
    </w:rPr>
  </w:style>
  <w:style w:type="paragraph" w:styleId="Heading2">
    <w:name w:val="heading 2"/>
    <w:basedOn w:val="Normal"/>
    <w:next w:val="Normal"/>
    <w:link w:val="Heading2Char"/>
    <w:uiPriority w:val="9"/>
    <w:unhideWhenUsed w:val="1"/>
    <w:qFormat w:val="1"/>
    <w:rsid w:val="002568B2"/>
    <w:pPr>
      <w:outlineLvl w:val="1"/>
    </w:pPr>
    <w:rPr>
      <w:b w:val="1"/>
      <w:bCs w:val="1"/>
      <w:sz w:val="24"/>
      <w:szCs w:val="24"/>
      <w:lang w:val="en-US"/>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paragraph" w:styleId="Title">
    <w:name w:val="Title"/>
    <w:basedOn w:val="Normal"/>
    <w:next w:val="Normal"/>
    <w:link w:val="TitleChar"/>
    <w:uiPriority w:val="10"/>
    <w:qFormat w:val="1"/>
    <w:rsid w:val="005F058B"/>
    <w:pPr>
      <w:spacing w:after="0" w:line="240" w:lineRule="auto"/>
      <w:contextualSpacing w:val="1"/>
    </w:pPr>
    <w:rPr>
      <w:rFonts w:asciiTheme="majorHAnsi" w:cstheme="majorBidi" w:eastAsiaTheme="majorEastAsia" w:hAnsiTheme="majorHAnsi"/>
      <w:spacing w:val="-10"/>
      <w:kern w:val="28"/>
      <w:sz w:val="56"/>
      <w:szCs w:val="56"/>
    </w:rPr>
  </w:style>
  <w:style w:type="character" w:styleId="TitleChar" w:customStyle="1">
    <w:name w:val="Title Char"/>
    <w:basedOn w:val="DefaultParagraphFont"/>
    <w:link w:val="Title"/>
    <w:uiPriority w:val="10"/>
    <w:rsid w:val="005F058B"/>
    <w:rPr>
      <w:rFonts w:asciiTheme="majorHAnsi" w:cstheme="majorBidi" w:eastAsiaTheme="majorEastAsia" w:hAnsiTheme="majorHAnsi"/>
      <w:spacing w:val="-10"/>
      <w:kern w:val="28"/>
      <w:sz w:val="56"/>
      <w:szCs w:val="56"/>
    </w:rPr>
  </w:style>
  <w:style w:type="paragraph" w:styleId="Subtitle">
    <w:name w:val="Subtitle"/>
    <w:basedOn w:val="Normal"/>
    <w:next w:val="Normal"/>
    <w:link w:val="SubtitleChar"/>
    <w:uiPriority w:val="11"/>
    <w:qFormat w:val="1"/>
    <w:rsid w:val="005F058B"/>
    <w:pPr>
      <w:numPr>
        <w:ilvl w:val="1"/>
      </w:numPr>
    </w:pPr>
    <w:rPr>
      <w:color w:val="5a5a5a" w:themeColor="text1" w:themeTint="0000A5"/>
      <w:spacing w:val="15"/>
    </w:rPr>
  </w:style>
  <w:style w:type="character" w:styleId="SubtitleChar" w:customStyle="1">
    <w:name w:val="Subtitle Char"/>
    <w:basedOn w:val="DefaultParagraphFont"/>
    <w:link w:val="Subtitle"/>
    <w:uiPriority w:val="11"/>
    <w:rsid w:val="005F058B"/>
    <w:rPr>
      <w:color w:val="5a5a5a" w:themeColor="text1" w:themeTint="0000A5"/>
      <w:spacing w:val="15"/>
    </w:rPr>
  </w:style>
  <w:style w:type="character" w:styleId="Heading1Char" w:customStyle="1">
    <w:name w:val="Heading 1 Char"/>
    <w:basedOn w:val="DefaultParagraphFont"/>
    <w:link w:val="Heading1"/>
    <w:uiPriority w:val="9"/>
    <w:rsid w:val="00590ADC"/>
    <w:rPr>
      <w:rFonts w:asciiTheme="majorHAnsi" w:cstheme="majorBidi" w:eastAsiaTheme="majorEastAsia" w:hAnsiTheme="majorHAnsi"/>
      <w:b w:val="1"/>
      <w:bCs w:val="1"/>
      <w:sz w:val="32"/>
      <w:szCs w:val="32"/>
      <w:lang w:val="en-US"/>
    </w:rPr>
  </w:style>
  <w:style w:type="character" w:styleId="Heading2Char" w:customStyle="1">
    <w:name w:val="Heading 2 Char"/>
    <w:basedOn w:val="DefaultParagraphFont"/>
    <w:link w:val="Heading2"/>
    <w:uiPriority w:val="9"/>
    <w:rsid w:val="002568B2"/>
    <w:rPr>
      <w:b w:val="1"/>
      <w:bCs w:val="1"/>
      <w:sz w:val="24"/>
      <w:szCs w:val="24"/>
      <w:lang w:val="en-US"/>
    </w:rPr>
  </w:style>
  <w:style w:type="character" w:styleId="PlaceholderText">
    <w:name w:val="Placeholder Text"/>
    <w:basedOn w:val="DefaultParagraphFont"/>
    <w:uiPriority w:val="99"/>
    <w:semiHidden w:val="1"/>
    <w:rsid w:val="0045357C"/>
    <w:rPr>
      <w:color w:val="808080"/>
    </w:rPr>
  </w:style>
  <w:style w:type="paragraph" w:styleId="ListParagraph">
    <w:name w:val="List Paragraph"/>
    <w:basedOn w:val="Normal"/>
    <w:uiPriority w:val="34"/>
    <w:qFormat w:val="1"/>
    <w:rsid w:val="002877F7"/>
    <w:pPr>
      <w:ind w:left="720"/>
      <w:contextualSpacing w:val="1"/>
    </w:pPr>
  </w:style>
  <w:style w:type="paragraph" w:styleId="Header">
    <w:name w:val="header"/>
    <w:basedOn w:val="Normal"/>
    <w:link w:val="HeaderChar"/>
    <w:uiPriority w:val="99"/>
    <w:unhideWhenUsed w:val="1"/>
    <w:rsid w:val="008235C3"/>
    <w:pPr>
      <w:tabs>
        <w:tab w:val="center" w:pos="4680"/>
        <w:tab w:val="right" w:pos="9360"/>
      </w:tabs>
      <w:spacing w:after="0" w:line="240" w:lineRule="auto"/>
    </w:pPr>
  </w:style>
  <w:style w:type="character" w:styleId="HeaderChar" w:customStyle="1">
    <w:name w:val="Header Char"/>
    <w:basedOn w:val="DefaultParagraphFont"/>
    <w:link w:val="Header"/>
    <w:uiPriority w:val="99"/>
    <w:rsid w:val="008235C3"/>
  </w:style>
  <w:style w:type="paragraph" w:styleId="Footer">
    <w:name w:val="footer"/>
    <w:basedOn w:val="Normal"/>
    <w:link w:val="FooterChar"/>
    <w:uiPriority w:val="99"/>
    <w:unhideWhenUsed w:val="1"/>
    <w:rsid w:val="008235C3"/>
    <w:pPr>
      <w:tabs>
        <w:tab w:val="center" w:pos="4680"/>
        <w:tab w:val="right" w:pos="9360"/>
      </w:tabs>
      <w:spacing w:after="0" w:line="240" w:lineRule="auto"/>
    </w:pPr>
  </w:style>
  <w:style w:type="character" w:styleId="FooterChar" w:customStyle="1">
    <w:name w:val="Footer Char"/>
    <w:basedOn w:val="DefaultParagraphFont"/>
    <w:link w:val="Footer"/>
    <w:uiPriority w:val="99"/>
    <w:rsid w:val="008235C3"/>
  </w:style>
  <w:style w:type="character" w:styleId="Hyperlink">
    <w:name w:val="Hyperlink"/>
    <w:basedOn w:val="DefaultParagraphFont"/>
    <w:uiPriority w:val="99"/>
    <w:unhideWhenUsed w:val="1"/>
    <w:rsid w:val="008235C3"/>
    <w:rPr>
      <w:color w:val="0000ff"/>
      <w:u w:val="single"/>
    </w:rPr>
  </w:style>
  <w:style w:type="paragraph" w:styleId="NoSpacing">
    <w:name w:val="No Spacing"/>
    <w:uiPriority w:val="1"/>
    <w:qFormat w:val="1"/>
    <w:rsid w:val="00280231"/>
    <w:pPr>
      <w:spacing w:after="0" w:line="240" w:lineRule="auto"/>
    </w:pPr>
  </w:style>
  <w:style w:type="table" w:styleId="TableGrid">
    <w:name w:val="Table Grid"/>
    <w:basedOn w:val="TableNormal"/>
    <w:uiPriority w:val="39"/>
    <w:rsid w:val="00EC31A5"/>
    <w:pPr>
      <w:spacing w:after="0" w:line="240" w:lineRule="auto"/>
    </w:pPr>
    <w:rPr>
      <w:sz w:val="24"/>
      <w:szCs w:val="24"/>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character" w:styleId="PageNumber">
    <w:name w:val="page number"/>
    <w:basedOn w:val="DefaultParagraphFont"/>
    <w:uiPriority w:val="99"/>
    <w:semiHidden w:val="1"/>
    <w:unhideWhenUsed w:val="1"/>
    <w:rsid w:val="00EC31A5"/>
  </w:style>
  <w:style w:type="paragraph" w:styleId="NormalWeb">
    <w:name w:val="Normal (Web)"/>
    <w:basedOn w:val="Normal"/>
    <w:uiPriority w:val="99"/>
    <w:unhideWhenUsed w:val="1"/>
    <w:rsid w:val="007F3D69"/>
    <w:pPr>
      <w:spacing w:after="100" w:afterAutospacing="1" w:before="100" w:beforeAutospacing="1" w:line="240" w:lineRule="auto"/>
    </w:pPr>
    <w:rPr>
      <w:rFonts w:ascii="Times New Roman" w:cs="Times New Roman" w:hAnsi="Times New Roman"/>
      <w:sz w:val="24"/>
      <w:szCs w:val="24"/>
      <w:lang w:eastAsia="en-US" w:val="en-US"/>
    </w:rPr>
  </w:style>
  <w:style w:type="character" w:styleId="UnresolvedMention">
    <w:name w:val="Unresolved Mention"/>
    <w:basedOn w:val="DefaultParagraphFont"/>
    <w:uiPriority w:val="99"/>
    <w:semiHidden w:val="1"/>
    <w:unhideWhenUsed w:val="1"/>
    <w:rsid w:val="00534D35"/>
    <w:rPr>
      <w:color w:val="605e5c"/>
      <w:shd w:color="auto" w:fill="e1dfdd" w:val="clear"/>
    </w:rPr>
  </w:style>
  <w:style w:type="paragraph" w:styleId="CommentText">
    <w:name w:val="annotation text"/>
    <w:basedOn w:val="Normal"/>
    <w:link w:val="CommentTextChar"/>
    <w:uiPriority w:val="99"/>
    <w:semiHidden w:val="1"/>
    <w:unhideWhenUsed w:val="1"/>
    <w:pPr>
      <w:spacing w:line="240" w:lineRule="auto"/>
    </w:pPr>
    <w:rPr>
      <w:sz w:val="20"/>
      <w:szCs w:val="20"/>
    </w:rPr>
  </w:style>
  <w:style w:type="character" w:styleId="CommentTextChar" w:customStyle="1">
    <w:name w:val="Comment Text Char"/>
    <w:basedOn w:val="DefaultParagraphFont"/>
    <w:link w:val="CommentText"/>
    <w:uiPriority w:val="99"/>
    <w:semiHidden w:val="1"/>
    <w:rPr>
      <w:sz w:val="20"/>
      <w:szCs w:val="20"/>
    </w:rPr>
  </w:style>
  <w:style w:type="character" w:styleId="CommentReference">
    <w:name w:val="annotation reference"/>
    <w:basedOn w:val="DefaultParagraphFont"/>
    <w:uiPriority w:val="99"/>
    <w:semiHidden w:val="1"/>
    <w:unhideWhenUsed w:val="1"/>
    <w:rPr>
      <w:sz w:val="16"/>
      <w:szCs w:val="16"/>
    </w:rPr>
  </w:style>
  <w:style w:type="paragraph" w:styleId="Subtitle">
    <w:name w:val="Subtitle"/>
    <w:basedOn w:val="Normal"/>
    <w:next w:val="Normal"/>
    <w:pPr/>
    <w:rPr>
      <w:color w:val="5a5a5a"/>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6">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7">
    <w:basedOn w:val="TableNormal"/>
    <w:pPr>
      <w:spacing w:after="0" w:line="240" w:lineRule="auto"/>
    </w:pPr>
    <w:rPr>
      <w:sz w:val="24"/>
      <w:szCs w:val="24"/>
    </w:rPr>
    <w:tblPr>
      <w:tblStyleRowBandSize w:val="1"/>
      <w:tblStyleColBandSize w:val="1"/>
      <w:tblCellMar>
        <w:top w:w="0.0" w:type="dxa"/>
        <w:left w:w="108.0" w:type="dxa"/>
        <w:bottom w:w="0.0" w:type="dxa"/>
        <w:right w:w="108.0" w:type="dxa"/>
      </w:tblCellMar>
    </w:tblPr>
  </w:style>
  <w:style w:type="table" w:styleId="Table8">
    <w:basedOn w:val="TableNormal"/>
    <w:pPr>
      <w:spacing w:after="0" w:line="240" w:lineRule="auto"/>
    </w:pPr>
    <w:rPr>
      <w:sz w:val="24"/>
      <w:szCs w:val="24"/>
    </w:rPr>
    <w:tblPr>
      <w:tblStyleRowBandSize w:val="1"/>
      <w:tblStyleColBandSize w:val="1"/>
      <w:tblCellMar>
        <w:top w:w="0.0" w:type="dxa"/>
        <w:left w:w="108.0" w:type="dxa"/>
        <w:bottom w:w="0.0" w:type="dxa"/>
        <w:right w:w="108.0" w:type="dxa"/>
      </w:tblCellMar>
    </w:tblPr>
  </w:style>
  <w:style w:type="table" w:styleId="Table9">
    <w:basedOn w:val="TableNormal"/>
    <w:pPr>
      <w:spacing w:after="0" w:line="240" w:lineRule="auto"/>
    </w:pPr>
    <w:rPr>
      <w:sz w:val="24"/>
      <w:szCs w:val="24"/>
    </w:rPr>
    <w:tblPr>
      <w:tblStyleRowBandSize w:val="1"/>
      <w:tblStyleColBandSize w:val="1"/>
      <w:tblCellMar>
        <w:top w:w="0.0" w:type="dxa"/>
        <w:left w:w="108.0" w:type="dxa"/>
        <w:bottom w:w="0.0" w:type="dxa"/>
        <w:right w:w="108.0" w:type="dxa"/>
      </w:tblCellMar>
    </w:tblPr>
  </w:style>
  <w:style w:type="table" w:styleId="Table10">
    <w:basedOn w:val="TableNormal"/>
    <w:pPr>
      <w:spacing w:after="0" w:line="240" w:lineRule="auto"/>
    </w:pPr>
    <w:rPr>
      <w:sz w:val="24"/>
      <w:szCs w:val="24"/>
    </w:rPr>
    <w:tblPr>
      <w:tblStyleRowBandSize w:val="1"/>
      <w:tblStyleColBandSize w:val="1"/>
      <w:tblCellMar>
        <w:top w:w="0.0" w:type="dxa"/>
        <w:left w:w="108.0" w:type="dxa"/>
        <w:bottom w:w="0.0" w:type="dxa"/>
        <w:right w:w="108.0" w:type="dxa"/>
      </w:tblCellMar>
    </w:tblPr>
  </w:style>
  <w:style w:type="table" w:styleId="Table11">
    <w:basedOn w:val="TableNormal"/>
    <w:pPr>
      <w:spacing w:after="0" w:line="240" w:lineRule="auto"/>
    </w:pPr>
    <w:rPr>
      <w:sz w:val="24"/>
      <w:szCs w:val="24"/>
    </w:rPr>
    <w:tblPr>
      <w:tblStyleRowBandSize w:val="1"/>
      <w:tblStyleColBandSize w:val="1"/>
      <w:tblCellMar>
        <w:top w:w="0.0" w:type="dxa"/>
        <w:left w:w="108.0" w:type="dxa"/>
        <w:bottom w:w="0.0" w:type="dxa"/>
        <w:right w:w="108.0" w:type="dxa"/>
      </w:tblCellMar>
    </w:tblPr>
  </w:style>
  <w:style w:type="table" w:styleId="Table12">
    <w:basedOn w:val="TableNormal"/>
    <w:pPr>
      <w:spacing w:after="0" w:line="240" w:lineRule="auto"/>
    </w:pPr>
    <w:rPr>
      <w:sz w:val="24"/>
      <w:szCs w:val="24"/>
    </w:rPr>
    <w:tblPr>
      <w:tblStyleRowBandSize w:val="1"/>
      <w:tblStyleColBandSize w:val="1"/>
      <w:tblCellMar>
        <w:top w:w="0.0" w:type="dxa"/>
        <w:left w:w="108.0" w:type="dxa"/>
        <w:bottom w:w="0.0" w:type="dxa"/>
        <w:right w:w="108.0" w:type="dxa"/>
      </w:tblCellMar>
    </w:tblPr>
  </w:style>
  <w:style w:type="table" w:styleId="Table13">
    <w:basedOn w:val="TableNormal"/>
    <w:pPr>
      <w:spacing w:after="0" w:line="240" w:lineRule="auto"/>
    </w:pPr>
    <w:rPr>
      <w:sz w:val="24"/>
      <w:szCs w:val="24"/>
    </w:rPr>
    <w:tblPr>
      <w:tblStyleRowBandSize w:val="1"/>
      <w:tblStyleColBandSize w:val="1"/>
      <w:tblCellMar>
        <w:top w:w="0.0" w:type="dxa"/>
        <w:left w:w="108.0" w:type="dxa"/>
        <w:bottom w:w="0.0" w:type="dxa"/>
        <w:right w:w="108.0" w:type="dxa"/>
      </w:tblCellMar>
    </w:tblPr>
  </w:style>
  <w:style w:type="table" w:styleId="Table14">
    <w:basedOn w:val="TableNormal"/>
    <w:pPr>
      <w:spacing w:after="0" w:line="240" w:lineRule="auto"/>
    </w:pPr>
    <w:rPr>
      <w:sz w:val="24"/>
      <w:szCs w:val="24"/>
    </w:rPr>
    <w:tblPr>
      <w:tblStyleRowBandSize w:val="1"/>
      <w:tblStyleColBandSize w:val="1"/>
      <w:tblCellMar>
        <w:top w:w="0.0" w:type="dxa"/>
        <w:left w:w="108.0" w:type="dxa"/>
        <w:bottom w:w="0.0" w:type="dxa"/>
        <w:right w:w="108.0" w:type="dxa"/>
      </w:tblCellMar>
    </w:tblPr>
  </w:style>
  <w:style w:type="table" w:styleId="Table15">
    <w:basedOn w:val="TableNormal"/>
    <w:pPr>
      <w:spacing w:after="0" w:line="240" w:lineRule="auto"/>
    </w:pPr>
    <w:rPr>
      <w:sz w:val="24"/>
      <w:szCs w:val="24"/>
    </w:rPr>
    <w:tblPr>
      <w:tblStyleRowBandSize w:val="1"/>
      <w:tblStyleColBandSize w:val="1"/>
      <w:tblCellMar>
        <w:top w:w="0.0" w:type="dxa"/>
        <w:left w:w="108.0" w:type="dxa"/>
        <w:bottom w:w="0.0" w:type="dxa"/>
        <w:right w:w="108.0" w:type="dxa"/>
      </w:tblCellMar>
    </w:tblPr>
  </w:style>
  <w:style w:type="table" w:styleId="Table16">
    <w:basedOn w:val="TableNormal"/>
    <w:pPr>
      <w:spacing w:after="0" w:line="240" w:lineRule="auto"/>
    </w:pPr>
    <w:rPr>
      <w:sz w:val="24"/>
      <w:szCs w:val="24"/>
    </w:rPr>
    <w:tblPr>
      <w:tblStyleRowBandSize w:val="1"/>
      <w:tblStyleColBandSize w:val="1"/>
      <w:tblCellMar>
        <w:top w:w="0.0" w:type="dxa"/>
        <w:left w:w="108.0" w:type="dxa"/>
        <w:bottom w:w="0.0" w:type="dxa"/>
        <w:right w:w="108.0" w:type="dxa"/>
      </w:tblCellMar>
    </w:tblPr>
  </w:style>
  <w:style w:type="table" w:styleId="Table17">
    <w:basedOn w:val="TableNormal"/>
    <w:pPr>
      <w:spacing w:after="0" w:line="240" w:lineRule="auto"/>
    </w:pPr>
    <w:rPr>
      <w:sz w:val="24"/>
      <w:szCs w:val="24"/>
    </w:rPr>
    <w:tblPr>
      <w:tblStyleRowBandSize w:val="1"/>
      <w:tblStyleColBandSize w:val="1"/>
      <w:tblCellMar>
        <w:top w:w="0.0" w:type="dxa"/>
        <w:left w:w="108.0" w:type="dxa"/>
        <w:bottom w:w="0.0" w:type="dxa"/>
        <w:right w:w="108.0" w:type="dxa"/>
      </w:tblCellMar>
    </w:tblPr>
  </w:style>
  <w:style w:type="table" w:styleId="Table18">
    <w:basedOn w:val="TableNormal"/>
    <w:pPr>
      <w:spacing w:after="0" w:line="240" w:lineRule="auto"/>
    </w:pPr>
    <w:rPr>
      <w:sz w:val="24"/>
      <w:szCs w:val="24"/>
    </w:rPr>
    <w:tblPr>
      <w:tblStyleRowBandSize w:val="1"/>
      <w:tblStyleColBandSize w:val="1"/>
      <w:tblCellMar>
        <w:top w:w="0.0" w:type="dxa"/>
        <w:left w:w="108.0" w:type="dxa"/>
        <w:bottom w:w="0.0" w:type="dxa"/>
        <w:right w:w="108.0" w:type="dxa"/>
      </w:tblCellMar>
    </w:tblPr>
  </w:style>
  <w:style w:type="table" w:styleId="Table19">
    <w:basedOn w:val="TableNormal"/>
    <w:pPr>
      <w:spacing w:after="0" w:line="240" w:lineRule="auto"/>
    </w:pPr>
    <w:rPr>
      <w:sz w:val="24"/>
      <w:szCs w:val="24"/>
    </w:rPr>
    <w:tblPr>
      <w:tblStyleRowBandSize w:val="1"/>
      <w:tblStyleColBandSize w:val="1"/>
      <w:tblCellMar>
        <w:top w:w="0.0" w:type="dxa"/>
        <w:left w:w="108.0" w:type="dxa"/>
        <w:bottom w:w="0.0" w:type="dxa"/>
        <w:right w:w="108.0" w:type="dxa"/>
      </w:tblCellMar>
    </w:tblPr>
  </w:style>
  <w:style w:type="table" w:styleId="Table20">
    <w:basedOn w:val="TableNormal"/>
    <w:pPr>
      <w:spacing w:after="0" w:line="240" w:lineRule="auto"/>
    </w:pPr>
    <w:rPr>
      <w:sz w:val="24"/>
      <w:szCs w:val="24"/>
    </w:rPr>
    <w:tblPr>
      <w:tblStyleRowBandSize w:val="1"/>
      <w:tblStyleColBandSize w:val="1"/>
      <w:tblCellMar>
        <w:top w:w="0.0" w:type="dxa"/>
        <w:left w:w="108.0" w:type="dxa"/>
        <w:bottom w:w="0.0" w:type="dxa"/>
        <w:right w:w="108.0" w:type="dxa"/>
      </w:tblCellMar>
    </w:tblPr>
  </w:style>
  <w:style w:type="table" w:styleId="Table21">
    <w:basedOn w:val="TableNormal"/>
    <w:pPr>
      <w:spacing w:after="0" w:line="240" w:lineRule="auto"/>
    </w:pPr>
    <w:rPr>
      <w:sz w:val="24"/>
      <w:szCs w:val="24"/>
    </w:rPr>
    <w:tblPr>
      <w:tblStyleRowBandSize w:val="1"/>
      <w:tblStyleColBandSize w:val="1"/>
      <w:tblCellMar>
        <w:top w:w="0.0" w:type="dxa"/>
        <w:left w:w="108.0" w:type="dxa"/>
        <w:bottom w:w="0.0" w:type="dxa"/>
        <w:right w:w="108.0" w:type="dxa"/>
      </w:tblCellMar>
    </w:tblPr>
  </w:style>
  <w:style w:type="table" w:styleId="Table22">
    <w:basedOn w:val="TableNormal"/>
    <w:pPr>
      <w:spacing w:after="0" w:line="240" w:lineRule="auto"/>
    </w:pPr>
    <w:rPr>
      <w:sz w:val="24"/>
      <w:szCs w:val="24"/>
    </w:rPr>
    <w:tblPr>
      <w:tblStyleRowBandSize w:val="1"/>
      <w:tblStyleColBandSize w:val="1"/>
      <w:tblCellMar>
        <w:top w:w="0.0" w:type="dxa"/>
        <w:left w:w="108.0" w:type="dxa"/>
        <w:bottom w:w="0.0" w:type="dxa"/>
        <w:right w:w="108.0" w:type="dxa"/>
      </w:tblCellMar>
    </w:tblPr>
  </w:style>
  <w:style w:type="table" w:styleId="Table23">
    <w:basedOn w:val="TableNormal"/>
    <w:pPr>
      <w:spacing w:after="0" w:line="240" w:lineRule="auto"/>
    </w:pPr>
    <w:rPr>
      <w:sz w:val="24"/>
      <w:szCs w:val="24"/>
    </w:rPr>
    <w:tblPr>
      <w:tblStyleRowBandSize w:val="1"/>
      <w:tblStyleColBandSize w:val="1"/>
      <w:tblCellMar>
        <w:top w:w="0.0" w:type="dxa"/>
        <w:left w:w="108.0" w:type="dxa"/>
        <w:bottom w:w="0.0" w:type="dxa"/>
        <w:right w:w="108.0" w:type="dxa"/>
      </w:tblCellMar>
    </w:tblPr>
  </w:style>
  <w:style w:type="table" w:styleId="Table24">
    <w:basedOn w:val="TableNormal"/>
    <w:pPr>
      <w:spacing w:after="0" w:line="240" w:lineRule="auto"/>
    </w:pPr>
    <w:rPr>
      <w:sz w:val="24"/>
      <w:szCs w:val="24"/>
    </w:rPr>
    <w:tblPr>
      <w:tblStyleRowBandSize w:val="1"/>
      <w:tblStyleColBandSize w:val="1"/>
      <w:tblCellMar>
        <w:top w:w="0.0" w:type="dxa"/>
        <w:left w:w="108.0" w:type="dxa"/>
        <w:bottom w:w="0.0" w:type="dxa"/>
        <w:right w:w="108.0" w:type="dxa"/>
      </w:tblCellMar>
    </w:tblPr>
  </w:style>
  <w:style w:type="table" w:styleId="Table25">
    <w:basedOn w:val="TableNormal"/>
    <w:pPr>
      <w:spacing w:after="0" w:line="240" w:lineRule="auto"/>
    </w:pPr>
    <w:rPr>
      <w:sz w:val="24"/>
      <w:szCs w:val="24"/>
    </w:rPr>
    <w:tblPr>
      <w:tblStyleRowBandSize w:val="1"/>
      <w:tblStyleColBandSize w:val="1"/>
      <w:tblCellMar>
        <w:top w:w="0.0" w:type="dxa"/>
        <w:left w:w="108.0" w:type="dxa"/>
        <w:bottom w:w="0.0" w:type="dxa"/>
        <w:right w:w="108.0" w:type="dxa"/>
      </w:tblCellMar>
    </w:tblPr>
  </w:style>
  <w:style w:type="table" w:styleId="Table26">
    <w:basedOn w:val="TableNormal"/>
    <w:pPr>
      <w:spacing w:after="0" w:line="240" w:lineRule="auto"/>
    </w:pPr>
    <w:rPr>
      <w:sz w:val="24"/>
      <w:szCs w:val="24"/>
    </w:rPr>
    <w:tblPr>
      <w:tblStyleRowBandSize w:val="1"/>
      <w:tblStyleColBandSize w:val="1"/>
      <w:tblCellMar>
        <w:top w:w="0.0" w:type="dxa"/>
        <w:left w:w="108.0" w:type="dxa"/>
        <w:bottom w:w="0.0" w:type="dxa"/>
        <w:right w:w="108.0" w:type="dxa"/>
      </w:tblCellMar>
    </w:tblPr>
  </w:style>
  <w:style w:type="table" w:styleId="Table27">
    <w:basedOn w:val="TableNormal"/>
    <w:pPr>
      <w:spacing w:after="0" w:line="240" w:lineRule="auto"/>
    </w:pPr>
    <w:rPr>
      <w:sz w:val="24"/>
      <w:szCs w:val="24"/>
    </w:rPr>
    <w:tblPr>
      <w:tblStyleRowBandSize w:val="1"/>
      <w:tblStyleColBandSize w:val="1"/>
      <w:tblCellMar>
        <w:top w:w="0.0" w:type="dxa"/>
        <w:left w:w="108.0" w:type="dxa"/>
        <w:bottom w:w="0.0" w:type="dxa"/>
        <w:right w:w="108.0" w:type="dxa"/>
      </w:tblCellMar>
    </w:tblPr>
  </w:style>
  <w:style w:type="table" w:styleId="Table28">
    <w:basedOn w:val="TableNormal"/>
    <w:pPr>
      <w:spacing w:after="0" w:line="240" w:lineRule="auto"/>
    </w:pPr>
    <w:rPr>
      <w:sz w:val="24"/>
      <w:szCs w:val="24"/>
    </w:rPr>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rPr>
      <w:color w:val="5a5a5a"/>
    </w:rPr>
  </w:style>
  <w:style w:type="table" w:styleId="Table1">
    <w:basedOn w:val="TableNormal"/>
    <w:pPr>
      <w:spacing w:after="0" w:line="240" w:lineRule="auto"/>
    </w:pPr>
    <w:rPr>
      <w:sz w:val="24"/>
      <w:szCs w:val="24"/>
    </w:rPr>
    <w:tblPr>
      <w:tblStyleRowBandSize w:val="1"/>
      <w:tblStyleColBandSize w:val="1"/>
      <w:tblCellMar>
        <w:top w:w="0.0" w:type="dxa"/>
        <w:left w:w="108.0" w:type="dxa"/>
        <w:bottom w:w="0.0" w:type="dxa"/>
        <w:right w:w="108.0" w:type="dxa"/>
      </w:tblCellMar>
    </w:tblPr>
  </w:style>
  <w:style w:type="table" w:styleId="Table2">
    <w:basedOn w:val="TableNormal"/>
    <w:pPr>
      <w:spacing w:after="0" w:line="240" w:lineRule="auto"/>
    </w:pPr>
    <w:rPr>
      <w:sz w:val="24"/>
      <w:szCs w:val="24"/>
    </w:rPr>
    <w:tblPr>
      <w:tblStyleRowBandSize w:val="1"/>
      <w:tblStyleColBandSize w:val="1"/>
      <w:tblCellMar>
        <w:top w:w="0.0" w:type="dxa"/>
        <w:left w:w="108.0" w:type="dxa"/>
        <w:bottom w:w="0.0" w:type="dxa"/>
        <w:right w:w="108.0" w:type="dxa"/>
      </w:tblCellMar>
    </w:tblPr>
  </w:style>
  <w:style w:type="table" w:styleId="Table3">
    <w:basedOn w:val="TableNormal"/>
    <w:pPr>
      <w:spacing w:after="0" w:line="240" w:lineRule="auto"/>
    </w:pPr>
    <w:rPr>
      <w:sz w:val="24"/>
      <w:szCs w:val="24"/>
    </w:rPr>
    <w:tblPr>
      <w:tblStyleRowBandSize w:val="1"/>
      <w:tblStyleColBandSize w:val="1"/>
      <w:tblCellMar>
        <w:top w:w="0.0" w:type="dxa"/>
        <w:left w:w="108.0" w:type="dxa"/>
        <w:bottom w:w="0.0" w:type="dxa"/>
        <w:right w:w="108.0" w:type="dxa"/>
      </w:tblCellMar>
    </w:tblPr>
  </w:style>
  <w:style w:type="table" w:styleId="Table4">
    <w:basedOn w:val="TableNormal"/>
    <w:pPr>
      <w:spacing w:after="0" w:line="240" w:lineRule="auto"/>
    </w:pPr>
    <w:rPr>
      <w:sz w:val="24"/>
      <w:szCs w:val="24"/>
    </w:rPr>
    <w:tblPr>
      <w:tblStyleRowBandSize w:val="1"/>
      <w:tblStyleColBandSize w:val="1"/>
      <w:tblCellMar>
        <w:top w:w="0.0" w:type="dxa"/>
        <w:left w:w="108.0" w:type="dxa"/>
        <w:bottom w:w="0.0" w:type="dxa"/>
        <w:right w:w="108.0" w:type="dxa"/>
      </w:tblCellMar>
    </w:tblPr>
  </w:style>
  <w:style w:type="table" w:styleId="Table5">
    <w:basedOn w:val="TableNormal"/>
    <w:pPr>
      <w:spacing w:after="0" w:line="240" w:lineRule="auto"/>
    </w:pPr>
    <w:rPr>
      <w:sz w:val="24"/>
      <w:szCs w:val="24"/>
    </w:rPr>
    <w:tblPr>
      <w:tblStyleRowBandSize w:val="1"/>
      <w:tblStyleColBandSize w:val="1"/>
      <w:tblCellMar>
        <w:top w:w="0.0" w:type="dxa"/>
        <w:left w:w="108.0" w:type="dxa"/>
        <w:bottom w:w="0.0" w:type="dxa"/>
        <w:right w:w="108.0" w:type="dxa"/>
      </w:tblCellMar>
    </w:tblPr>
  </w:style>
  <w:style w:type="table" w:styleId="Table6">
    <w:basedOn w:val="TableNormal"/>
    <w:pPr>
      <w:spacing w:after="0" w:line="240" w:lineRule="auto"/>
    </w:pPr>
    <w:rPr>
      <w:sz w:val="24"/>
      <w:szCs w:val="24"/>
    </w:rPr>
    <w:tblPr>
      <w:tblStyleRowBandSize w:val="1"/>
      <w:tblStyleColBandSize w:val="1"/>
      <w:tblCellMar>
        <w:top w:w="0.0" w:type="dxa"/>
        <w:left w:w="108.0" w:type="dxa"/>
        <w:bottom w:w="0.0" w:type="dxa"/>
        <w:right w:w="108.0" w:type="dxa"/>
      </w:tblCellMar>
    </w:tblPr>
  </w:style>
  <w:style w:type="table" w:styleId="Table7">
    <w:basedOn w:val="TableNormal"/>
    <w:pPr>
      <w:spacing w:after="0" w:line="240" w:lineRule="auto"/>
    </w:pPr>
    <w:rPr>
      <w:sz w:val="24"/>
      <w:szCs w:val="24"/>
    </w:rPr>
    <w:tblPr>
      <w:tblStyleRowBandSize w:val="1"/>
      <w:tblStyleColBandSize w:val="1"/>
      <w:tblCellMar>
        <w:top w:w="0.0" w:type="dxa"/>
        <w:left w:w="108.0" w:type="dxa"/>
        <w:bottom w:w="0.0" w:type="dxa"/>
        <w:right w:w="108.0" w:type="dxa"/>
      </w:tblCellMar>
    </w:tblPr>
  </w:style>
  <w:style w:type="table" w:styleId="Table8">
    <w:basedOn w:val="TableNormal"/>
    <w:pPr>
      <w:spacing w:after="0" w:line="240" w:lineRule="auto"/>
    </w:pPr>
    <w:rPr>
      <w:sz w:val="24"/>
      <w:szCs w:val="24"/>
    </w:rPr>
    <w:tblPr>
      <w:tblStyleRowBandSize w:val="1"/>
      <w:tblStyleColBandSize w:val="1"/>
      <w:tblCellMar>
        <w:top w:w="0.0" w:type="dxa"/>
        <w:left w:w="108.0" w:type="dxa"/>
        <w:bottom w:w="0.0" w:type="dxa"/>
        <w:right w:w="108.0" w:type="dxa"/>
      </w:tblCellMar>
    </w:tblPr>
  </w:style>
  <w:style w:type="table" w:styleId="Table9">
    <w:basedOn w:val="TableNormal"/>
    <w:pPr>
      <w:spacing w:after="0" w:line="240" w:lineRule="auto"/>
    </w:pPr>
    <w:rPr>
      <w:sz w:val="24"/>
      <w:szCs w:val="24"/>
    </w:rPr>
    <w:tblPr>
      <w:tblStyleRowBandSize w:val="1"/>
      <w:tblStyleColBandSize w:val="1"/>
      <w:tblCellMar>
        <w:top w:w="0.0" w:type="dxa"/>
        <w:left w:w="108.0" w:type="dxa"/>
        <w:bottom w:w="0.0" w:type="dxa"/>
        <w:right w:w="108.0" w:type="dxa"/>
      </w:tblCellMar>
    </w:tblPr>
  </w:style>
  <w:style w:type="table" w:styleId="Table10">
    <w:basedOn w:val="TableNormal"/>
    <w:pPr>
      <w:spacing w:after="0" w:line="240" w:lineRule="auto"/>
    </w:pPr>
    <w:rPr>
      <w:sz w:val="24"/>
      <w:szCs w:val="24"/>
    </w:rPr>
    <w:tblPr>
      <w:tblStyleRowBandSize w:val="1"/>
      <w:tblStyleColBandSize w:val="1"/>
      <w:tblCellMar>
        <w:top w:w="0.0" w:type="dxa"/>
        <w:left w:w="108.0" w:type="dxa"/>
        <w:bottom w:w="0.0" w:type="dxa"/>
        <w:right w:w="108.0" w:type="dxa"/>
      </w:tblCellMar>
    </w:tblPr>
  </w:style>
  <w:style w:type="table" w:styleId="Table11">
    <w:basedOn w:val="TableNormal"/>
    <w:pPr>
      <w:spacing w:after="0" w:line="240" w:lineRule="auto"/>
    </w:pPr>
    <w:rPr>
      <w:sz w:val="24"/>
      <w:szCs w:val="24"/>
    </w:rPr>
    <w:tblPr>
      <w:tblStyleRowBandSize w:val="1"/>
      <w:tblStyleColBandSize w:val="1"/>
      <w:tblCellMar>
        <w:top w:w="0.0" w:type="dxa"/>
        <w:left w:w="108.0" w:type="dxa"/>
        <w:bottom w:w="0.0" w:type="dxa"/>
        <w:right w:w="108.0" w:type="dxa"/>
      </w:tblCellMar>
    </w:tblPr>
  </w:style>
  <w:style w:type="table" w:styleId="Table12">
    <w:basedOn w:val="TableNormal"/>
    <w:pPr>
      <w:spacing w:after="0" w:line="240" w:lineRule="auto"/>
    </w:pPr>
    <w:rPr>
      <w:sz w:val="24"/>
      <w:szCs w:val="24"/>
    </w:rPr>
    <w:tblPr>
      <w:tblStyleRowBandSize w:val="1"/>
      <w:tblStyleColBandSize w:val="1"/>
      <w:tblCellMar>
        <w:top w:w="0.0" w:type="dxa"/>
        <w:left w:w="108.0" w:type="dxa"/>
        <w:bottom w:w="0.0" w:type="dxa"/>
        <w:right w:w="108.0" w:type="dxa"/>
      </w:tblCellMar>
    </w:tblPr>
  </w:style>
  <w:style w:type="table" w:styleId="Table13">
    <w:basedOn w:val="TableNormal"/>
    <w:pPr>
      <w:spacing w:after="0" w:line="240" w:lineRule="auto"/>
    </w:pPr>
    <w:rPr>
      <w:sz w:val="24"/>
      <w:szCs w:val="24"/>
    </w:rPr>
    <w:tblPr>
      <w:tblStyleRowBandSize w:val="1"/>
      <w:tblStyleColBandSize w:val="1"/>
      <w:tblCellMar>
        <w:top w:w="0.0" w:type="dxa"/>
        <w:left w:w="108.0" w:type="dxa"/>
        <w:bottom w:w="0.0" w:type="dxa"/>
        <w:right w:w="108.0" w:type="dxa"/>
      </w:tblCellMar>
    </w:tblPr>
  </w:style>
  <w:style w:type="table" w:styleId="Table14">
    <w:basedOn w:val="TableNormal"/>
    <w:pPr>
      <w:spacing w:after="0" w:line="240" w:lineRule="auto"/>
    </w:pPr>
    <w:rPr>
      <w:sz w:val="24"/>
      <w:szCs w:val="24"/>
    </w:rPr>
    <w:tblPr>
      <w:tblStyleRowBandSize w:val="1"/>
      <w:tblStyleColBandSize w:val="1"/>
      <w:tblCellMar>
        <w:top w:w="0.0" w:type="dxa"/>
        <w:left w:w="108.0" w:type="dxa"/>
        <w:bottom w:w="0.0" w:type="dxa"/>
        <w:right w:w="108.0" w:type="dxa"/>
      </w:tblCellMar>
    </w:tblPr>
  </w:style>
  <w:style w:type="table" w:styleId="Table15">
    <w:basedOn w:val="TableNormal"/>
    <w:pPr>
      <w:spacing w:after="0" w:line="240" w:lineRule="auto"/>
    </w:pPr>
    <w:rPr>
      <w:sz w:val="24"/>
      <w:szCs w:val="24"/>
    </w:rPr>
    <w:tblPr>
      <w:tblStyleRowBandSize w:val="1"/>
      <w:tblStyleColBandSize w:val="1"/>
      <w:tblCellMar>
        <w:top w:w="0.0" w:type="dxa"/>
        <w:left w:w="108.0" w:type="dxa"/>
        <w:bottom w:w="0.0" w:type="dxa"/>
        <w:right w:w="108.0" w:type="dxa"/>
      </w:tblCellMar>
    </w:tblPr>
  </w:style>
  <w:style w:type="table" w:styleId="Table16">
    <w:basedOn w:val="TableNormal"/>
    <w:pPr>
      <w:spacing w:after="0" w:line="240" w:lineRule="auto"/>
    </w:pPr>
    <w:rPr>
      <w:sz w:val="24"/>
      <w:szCs w:val="24"/>
    </w:rPr>
    <w:tblPr>
      <w:tblStyleRowBandSize w:val="1"/>
      <w:tblStyleColBandSize w:val="1"/>
      <w:tblCellMar>
        <w:top w:w="0.0" w:type="dxa"/>
        <w:left w:w="108.0" w:type="dxa"/>
        <w:bottom w:w="0.0" w:type="dxa"/>
        <w:right w:w="108.0" w:type="dxa"/>
      </w:tblCellMar>
    </w:tblPr>
  </w:style>
  <w:style w:type="table" w:styleId="Table17">
    <w:basedOn w:val="TableNormal"/>
    <w:pPr>
      <w:spacing w:after="0" w:line="240" w:lineRule="auto"/>
    </w:pPr>
    <w:rPr>
      <w:sz w:val="24"/>
      <w:szCs w:val="24"/>
    </w:rPr>
    <w:tblPr>
      <w:tblStyleRowBandSize w:val="1"/>
      <w:tblStyleColBandSize w:val="1"/>
      <w:tblCellMar>
        <w:top w:w="0.0" w:type="dxa"/>
        <w:left w:w="108.0" w:type="dxa"/>
        <w:bottom w:w="0.0" w:type="dxa"/>
        <w:right w:w="108.0" w:type="dxa"/>
      </w:tblCellMar>
    </w:tblPr>
  </w:style>
  <w:style w:type="table" w:styleId="Table18">
    <w:basedOn w:val="TableNormal"/>
    <w:pPr>
      <w:spacing w:after="0" w:line="240" w:lineRule="auto"/>
    </w:pPr>
    <w:rPr>
      <w:sz w:val="24"/>
      <w:szCs w:val="24"/>
    </w:rPr>
    <w:tblPr>
      <w:tblStyleRowBandSize w:val="1"/>
      <w:tblStyleColBandSize w:val="1"/>
      <w:tblCellMar>
        <w:top w:w="0.0" w:type="dxa"/>
        <w:left w:w="108.0" w:type="dxa"/>
        <w:bottom w:w="0.0" w:type="dxa"/>
        <w:right w:w="108.0" w:type="dxa"/>
      </w:tblCellMar>
    </w:tblPr>
  </w:style>
  <w:style w:type="table" w:styleId="Table19">
    <w:basedOn w:val="TableNormal"/>
    <w:pPr>
      <w:spacing w:after="0" w:line="240" w:lineRule="auto"/>
    </w:pPr>
    <w:rPr>
      <w:sz w:val="24"/>
      <w:szCs w:val="24"/>
    </w:rPr>
    <w:tblPr>
      <w:tblStyleRowBandSize w:val="1"/>
      <w:tblStyleColBandSize w:val="1"/>
      <w:tblCellMar>
        <w:top w:w="0.0" w:type="dxa"/>
        <w:left w:w="108.0" w:type="dxa"/>
        <w:bottom w:w="0.0" w:type="dxa"/>
        <w:right w:w="108.0" w:type="dxa"/>
      </w:tblCellMar>
    </w:tblPr>
  </w:style>
  <w:style w:type="table" w:styleId="Table20">
    <w:basedOn w:val="TableNormal"/>
    <w:pPr>
      <w:spacing w:after="0" w:line="240" w:lineRule="auto"/>
    </w:pPr>
    <w:rPr>
      <w:sz w:val="24"/>
      <w:szCs w:val="24"/>
    </w:rPr>
    <w:tblPr>
      <w:tblStyleRowBandSize w:val="1"/>
      <w:tblStyleColBandSize w:val="1"/>
      <w:tblCellMar>
        <w:top w:w="0.0" w:type="dxa"/>
        <w:left w:w="108.0" w:type="dxa"/>
        <w:bottom w:w="0.0" w:type="dxa"/>
        <w:right w:w="108.0" w:type="dxa"/>
      </w:tblCellMar>
    </w:tblPr>
  </w:style>
  <w:style w:type="table" w:styleId="Table21">
    <w:basedOn w:val="TableNormal"/>
    <w:pPr>
      <w:spacing w:after="0" w:line="240" w:lineRule="auto"/>
    </w:pPr>
    <w:rPr>
      <w:sz w:val="24"/>
      <w:szCs w:val="24"/>
    </w:rPr>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rPr>
      <w:color w:val="5a5a5a"/>
    </w:rPr>
  </w:style>
  <w:style w:type="table" w:styleId="Table1">
    <w:basedOn w:val="TableNormal"/>
    <w:pPr>
      <w:spacing w:after="0" w:line="240" w:lineRule="auto"/>
    </w:pPr>
    <w:rPr>
      <w:sz w:val="24"/>
      <w:szCs w:val="24"/>
    </w:rPr>
    <w:tblPr>
      <w:tblStyleRowBandSize w:val="1"/>
      <w:tblStyleColBandSize w:val="1"/>
      <w:tblCellMar>
        <w:top w:w="0.0" w:type="dxa"/>
        <w:left w:w="108.0" w:type="dxa"/>
        <w:bottom w:w="0.0" w:type="dxa"/>
        <w:right w:w="108.0" w:type="dxa"/>
      </w:tblCellMar>
    </w:tblPr>
  </w:style>
  <w:style w:type="table" w:styleId="Table2">
    <w:basedOn w:val="TableNormal"/>
    <w:pPr>
      <w:spacing w:after="0" w:line="240" w:lineRule="auto"/>
    </w:pPr>
    <w:rPr>
      <w:sz w:val="24"/>
      <w:szCs w:val="24"/>
    </w:rPr>
    <w:tblPr>
      <w:tblStyleRowBandSize w:val="1"/>
      <w:tblStyleColBandSize w:val="1"/>
      <w:tblCellMar>
        <w:top w:w="0.0" w:type="dxa"/>
        <w:left w:w="108.0" w:type="dxa"/>
        <w:bottom w:w="0.0" w:type="dxa"/>
        <w:right w:w="108.0" w:type="dxa"/>
      </w:tblCellMar>
    </w:tblPr>
  </w:style>
  <w:style w:type="table" w:styleId="Table3">
    <w:basedOn w:val="TableNormal"/>
    <w:pPr>
      <w:spacing w:after="0" w:line="240" w:lineRule="auto"/>
    </w:pPr>
    <w:rPr>
      <w:sz w:val="24"/>
      <w:szCs w:val="24"/>
    </w:rPr>
    <w:tblPr>
      <w:tblStyleRowBandSize w:val="1"/>
      <w:tblStyleColBandSize w:val="1"/>
      <w:tblCellMar>
        <w:top w:w="0.0" w:type="dxa"/>
        <w:left w:w="108.0" w:type="dxa"/>
        <w:bottom w:w="0.0" w:type="dxa"/>
        <w:right w:w="108.0" w:type="dxa"/>
      </w:tblCellMar>
    </w:tblPr>
  </w:style>
  <w:style w:type="table" w:styleId="Table4">
    <w:basedOn w:val="TableNormal"/>
    <w:pPr>
      <w:spacing w:after="0" w:line="240" w:lineRule="auto"/>
    </w:pPr>
    <w:rPr>
      <w:sz w:val="24"/>
      <w:szCs w:val="24"/>
    </w:rPr>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rPr>
      <w:color w:val="5a5a5a"/>
    </w:rPr>
  </w:style>
  <w:style w:type="table" w:styleId="Table1">
    <w:basedOn w:val="TableNormal"/>
    <w:pPr>
      <w:spacing w:after="0" w:line="240" w:lineRule="auto"/>
    </w:pPr>
    <w:rPr>
      <w:sz w:val="24"/>
      <w:szCs w:val="24"/>
    </w:rPr>
    <w:tblPr>
      <w:tblStyleRowBandSize w:val="1"/>
      <w:tblStyleColBandSize w:val="1"/>
      <w:tblCellMar>
        <w:top w:w="0.0" w:type="dxa"/>
        <w:left w:w="108.0" w:type="dxa"/>
        <w:bottom w:w="0.0" w:type="dxa"/>
        <w:right w:w="108.0" w:type="dxa"/>
      </w:tblCellMar>
    </w:tblPr>
  </w:style>
  <w:style w:type="table" w:styleId="Table2">
    <w:basedOn w:val="TableNormal"/>
    <w:pPr>
      <w:spacing w:after="0" w:line="240" w:lineRule="auto"/>
    </w:pPr>
    <w:rPr>
      <w:sz w:val="24"/>
      <w:szCs w:val="24"/>
    </w:rPr>
    <w:tblPr>
      <w:tblStyleRowBandSize w:val="1"/>
      <w:tblStyleColBandSize w:val="1"/>
      <w:tblCellMar>
        <w:top w:w="0.0" w:type="dxa"/>
        <w:left w:w="108.0" w:type="dxa"/>
        <w:bottom w:w="0.0" w:type="dxa"/>
        <w:right w:w="108.0" w:type="dxa"/>
      </w:tblCellMar>
    </w:tblPr>
  </w:style>
  <w:style w:type="table" w:styleId="Table3">
    <w:basedOn w:val="TableNormal"/>
    <w:pPr>
      <w:spacing w:after="0" w:line="240" w:lineRule="auto"/>
    </w:pPr>
    <w:rPr>
      <w:sz w:val="24"/>
      <w:szCs w:val="24"/>
    </w:rPr>
    <w:tblPr>
      <w:tblStyleRowBandSize w:val="1"/>
      <w:tblStyleColBandSize w:val="1"/>
      <w:tblCellMar>
        <w:top w:w="0.0" w:type="dxa"/>
        <w:left w:w="108.0" w:type="dxa"/>
        <w:bottom w:w="0.0" w:type="dxa"/>
        <w:right w:w="108.0" w:type="dxa"/>
      </w:tblCellMar>
    </w:tblPr>
  </w:style>
  <w:style w:type="table" w:styleId="Table4">
    <w:basedOn w:val="TableNormal"/>
    <w:pPr>
      <w:spacing w:after="0" w:line="240" w:lineRule="auto"/>
    </w:pPr>
    <w:rPr>
      <w:sz w:val="24"/>
      <w:szCs w:val="24"/>
    </w:r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customXml" Target="../customXML/item3.xml"/><Relationship Id="rId3" Type="http://schemas.openxmlformats.org/officeDocument/2006/relationships/fontTable" Target="fontTable.xml"/><Relationship Id="rId7" Type="http://schemas.openxmlformats.org/officeDocument/2006/relationships/image" Target="media/image2.png"/><Relationship Id="rId12" Type="http://schemas.openxmlformats.org/officeDocument/2006/relationships/customXml" Target="../customXML/item2.xml"/><Relationship Id="rId2" Type="http://schemas.openxmlformats.org/officeDocument/2006/relationships/settings" Target="settings.xml"/><Relationship Id="rId1" Type="http://schemas.openxmlformats.org/officeDocument/2006/relationships/theme" Target="theme/theme1.xml"/><Relationship Id="rId11" Type="http://schemas.openxmlformats.org/officeDocument/2006/relationships/footer" Target="footer2.xml"/><Relationship Id="rId6" Type="http://schemas.openxmlformats.org/officeDocument/2006/relationships/customXml" Target="../customXML/item1.xml"/><Relationship Id="rId5" Type="http://schemas.openxmlformats.org/officeDocument/2006/relationships/styles" Target="styles.xml"/><Relationship Id="rId10" Type="http://schemas.openxmlformats.org/officeDocument/2006/relationships/footer" Target="footer1.xml"/><Relationship Id="rId4" Type="http://schemas.openxmlformats.org/officeDocument/2006/relationships/numbering" Target="numbering.xml"/><Relationship Id="rId9" Type="http://schemas.openxmlformats.org/officeDocument/2006/relationships/header" Target="header1.xml"/><Relationship Id="rId14" Type="http://schemas.openxmlformats.org/officeDocument/2006/relationships/customXml" Target="../customXML/item4.xml"/></Relationships>
</file>

<file path=word/_rels/fontTable.xml.rels><?xml version="1.0" encoding="UTF-8" standalone="yes"?><Relationships xmlns="http://schemas.openxmlformats.org/package/2006/relationships"><Relationship Id="rId1" Type="http://schemas.openxmlformats.org/officeDocument/2006/relationships/font" Target="fonts/Play-regular.ttf"/><Relationship Id="rId2" Type="http://schemas.openxmlformats.org/officeDocument/2006/relationships/font" Target="fonts/Play-bold.ttf"/><Relationship Id="rId3" Type="http://schemas.openxmlformats.org/officeDocument/2006/relationships/font" Target="fonts/NotoSansSymbols-regular.ttf"/><Relationship Id="rId4" Type="http://schemas.openxmlformats.org/officeDocument/2006/relationships/font" Target="fonts/NotoSansSymbols-bold.ttf"/></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hi2skLnnc0aCdBmAMTDQXN4mHZw==">CgMxLjAaHwoBMBIaChgICVIUChJ0YWJsZS45YTk5am5nc2ZqNmYaHwoBMRIaChgICVIUChJ0YWJsZS4xc2k0enJicGk4bng4AHIhMWNVZ1hfTFhtazNhcnRyYUNzeGRMTVpFem50ZXpjYmV5</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Document" ma:contentTypeID="0x010100B32B9D3E748DDC4895D8B9A18A272003" ma:contentTypeVersion="18" ma:contentTypeDescription="Create a new document." ma:contentTypeScope="" ma:versionID="07f7405f6cc09f05157462c4268e7a8a">
  <xsd:schema xmlns:xsd="http://www.w3.org/2001/XMLSchema" xmlns:xs="http://www.w3.org/2001/XMLSchema" xmlns:p="http://schemas.microsoft.com/office/2006/metadata/properties" xmlns:ns2="5b04c1d3-8397-4328-b1ec-cfa9f9fbe811" xmlns:ns3="19a15518-a511-4848-b93e-d47b6462a263" targetNamespace="http://schemas.microsoft.com/office/2006/metadata/properties" ma:root="true" ma:fieldsID="64c71725492546fab4ffcc1bfdca7305" ns2:_="" ns3:_="">
    <xsd:import namespace="5b04c1d3-8397-4328-b1ec-cfa9f9fbe811"/>
    <xsd:import namespace="19a15518-a511-4848-b93e-d47b6462a263"/>
    <xsd:element name="properties">
      <xsd:complexType>
        <xsd:sequence>
          <xsd:element name="documentManagement">
            <xsd:complexType>
              <xsd:all>
                <xsd:element ref="ns2:MediaServiceMetadata" minOccurs="0"/>
                <xsd:element ref="ns2:MediaServiceFastMetadata" minOccurs="0"/>
                <xsd:element ref="ns2:MediaLengthInSecond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AutoKeyPoints" minOccurs="0"/>
                <xsd:element ref="ns2:MediaServiceKeyPoints" minOccurs="0"/>
                <xsd:element ref="ns2:lcf76f155ced4ddcb4097134ff3c332f" minOccurs="0"/>
                <xsd:element ref="ns3:TaxCatchAll"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b04c1d3-8397-4328-b1ec-cfa9f9fbe81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LengthInSeconds" ma:index="10" nillable="true" ma:displayName="Length (seconds)" ma:internalName="MediaLengthInSeconds" ma:readOnly="true">
      <xsd:simpleType>
        <xsd:restriction base="dms:Unknown"/>
      </xsd:simpleType>
    </xsd:element>
    <xsd:element name="MediaServiceDateTaken" ma:index="11" nillable="true" ma:displayName="MediaServiceDateTaken" ma:hidden="true" ma:internalName="MediaServiceDateTaken" ma:readOnly="true">
      <xsd:simpleType>
        <xsd:restriction base="dms:Text"/>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18a847a3-f017-48d2-8752-d6ce83591cd5"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9a15518-a511-4848-b93e-d47b6462a26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720d4428-0788-4a17-a3e5-6333d5d4f49e}" ma:internalName="TaxCatchAll" ma:showField="CatchAllData" ma:web="19a15518-a511-4848-b93e-d47b6462a26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5b04c1d3-8397-4328-b1ec-cfa9f9fbe811">
      <Terms xmlns="http://schemas.microsoft.com/office/infopath/2007/PartnerControls"/>
    </lcf76f155ced4ddcb4097134ff3c332f>
    <TaxCatchAll xmlns="19a15518-a511-4848-b93e-d47b6462a263" xsi:nil="true"/>
  </documentManagement>
</p:properties>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customXML/itemProps2.xml><?xml version="1.0" encoding="utf-8"?>
<ds:datastoreItem xmlns:ds="http://schemas.openxmlformats.org/officeDocument/2006/customXml" ds:itemID="{5CAF903E-DE91-46FD-82B8-3DC7AC7B61BA}"/>
</file>

<file path=customXML/itemProps3.xml><?xml version="1.0" encoding="utf-8"?>
<ds:datastoreItem xmlns:ds="http://schemas.openxmlformats.org/officeDocument/2006/customXml" ds:itemID="{FA932637-7896-447F-81A6-1E062CB230CD}"/>
</file>

<file path=customXML/itemProps4.xml><?xml version="1.0" encoding="utf-8"?>
<ds:datastoreItem xmlns:ds="http://schemas.openxmlformats.org/officeDocument/2006/customXml" ds:itemID="{7D51C06E-79F3-4931-8CE2-78D6548E517E}"/>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Nitesh</dc:creator>
  <dcterms:created xsi:type="dcterms:W3CDTF">2023-12-21T06:55:00Z</dcterms:creat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0x010100B32B9D3E748DDC4895D8B9A18A272003</vt:lpwstr>
  </property>
  <property fmtid="{D5CDD505-2E9C-101B-9397-08002B2CF9AE}" pid="3" name="Order">
    <vt:lpwstr>486700</vt:lpwstr>
  </property>
  <property fmtid="{D5CDD505-2E9C-101B-9397-08002B2CF9AE}" pid="4" name="xd_Signature">
    <vt:lpwstr>false</vt:lpwstr>
  </property>
  <property fmtid="{D5CDD505-2E9C-101B-9397-08002B2CF9AE}" pid="5" name="xd_ProgID">
    <vt:lpwstr>xd_ProgID</vt:lpwstr>
  </property>
  <property fmtid="{D5CDD505-2E9C-101B-9397-08002B2CF9AE}" pid="6" name="_ExtendedDescription">
    <vt:lpwstr>_ExtendedDescription</vt:lpwstr>
  </property>
  <property fmtid="{D5CDD505-2E9C-101B-9397-08002B2CF9AE}" pid="7" name="_SourceUrl">
    <vt:lpwstr>_SourceUrl</vt:lpwstr>
  </property>
  <property fmtid="{D5CDD505-2E9C-101B-9397-08002B2CF9AE}" pid="8" name="_SharedFileIndex">
    <vt:lpwstr>_SharedFileIndex</vt:lpwstr>
  </property>
  <property fmtid="{D5CDD505-2E9C-101B-9397-08002B2CF9AE}" pid="9" name="ComplianceAssetId">
    <vt:lpwstr>ComplianceAssetId</vt:lpwstr>
  </property>
  <property fmtid="{D5CDD505-2E9C-101B-9397-08002B2CF9AE}" pid="10" name="TemplateUrl">
    <vt:lpwstr>TemplateUrl</vt:lpwstr>
  </property>
  <property fmtid="{D5CDD505-2E9C-101B-9397-08002B2CF9AE}" pid="11" name="MediaServiceImageTags">
    <vt:lpwstr>MediaServiceImageTags</vt:lpwstr>
  </property>
</Properties>
</file>